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A6" w:rsidRPr="007460A6" w:rsidRDefault="007460A6" w:rsidP="007460A6">
      <w:pPr>
        <w:shd w:val="clear" w:color="auto" w:fill="FFFFFF"/>
        <w:spacing w:after="100" w:afterAutospacing="1" w:line="360" w:lineRule="auto"/>
        <w:jc w:val="center"/>
        <w:rPr>
          <w:rFonts w:ascii="inherit" w:eastAsia="Times New Roman" w:hAnsi="inherit" w:cs="Helvetica"/>
          <w:b/>
          <w:i/>
          <w:color w:val="403152" w:themeColor="accent4" w:themeShade="80"/>
          <w:sz w:val="21"/>
          <w:szCs w:val="21"/>
          <w:lang w:eastAsia="pt-BR"/>
        </w:rPr>
      </w:pPr>
      <w:r w:rsidRPr="007460A6">
        <w:rPr>
          <w:rFonts w:ascii="inherit" w:eastAsia="Times New Roman" w:hAnsi="inherit" w:cs="Helvetica"/>
          <w:b/>
          <w:i/>
          <w:color w:val="403152" w:themeColor="accent4" w:themeShade="80"/>
          <w:sz w:val="21"/>
          <w:szCs w:val="21"/>
          <w:lang w:eastAsia="pt-BR"/>
        </w:rPr>
        <w:t>NOTA DE REP</w:t>
      </w:r>
      <w:r w:rsidRPr="007460A6">
        <w:rPr>
          <w:rFonts w:ascii="inherit" w:eastAsia="Times New Roman" w:hAnsi="inherit" w:cs="Helvetica" w:hint="eastAsia"/>
          <w:b/>
          <w:i/>
          <w:color w:val="403152" w:themeColor="accent4" w:themeShade="80"/>
          <w:sz w:val="21"/>
          <w:szCs w:val="21"/>
          <w:lang w:eastAsia="pt-BR"/>
        </w:rPr>
        <w:t>Ú</w:t>
      </w:r>
      <w:r w:rsidRPr="007460A6">
        <w:rPr>
          <w:rFonts w:ascii="inherit" w:eastAsia="Times New Roman" w:hAnsi="inherit" w:cs="Helvetica"/>
          <w:b/>
          <w:i/>
          <w:color w:val="403152" w:themeColor="accent4" w:themeShade="80"/>
          <w:sz w:val="21"/>
          <w:szCs w:val="21"/>
          <w:lang w:eastAsia="pt-BR"/>
        </w:rPr>
        <w:t xml:space="preserve">DIO </w:t>
      </w:r>
      <w:r w:rsidRPr="007460A6">
        <w:rPr>
          <w:rFonts w:ascii="inherit" w:eastAsia="Times New Roman" w:hAnsi="inherit" w:cs="Helvetica" w:hint="eastAsia"/>
          <w:b/>
          <w:i/>
          <w:color w:val="403152" w:themeColor="accent4" w:themeShade="80"/>
          <w:sz w:val="21"/>
          <w:szCs w:val="21"/>
          <w:lang w:eastAsia="pt-BR"/>
        </w:rPr>
        <w:t>À</w:t>
      </w:r>
      <w:r w:rsidRPr="007460A6">
        <w:rPr>
          <w:rFonts w:ascii="inherit" w:eastAsia="Times New Roman" w:hAnsi="inherit" w:cs="Helvetica"/>
          <w:b/>
          <w:i/>
          <w:color w:val="403152" w:themeColor="accent4" w:themeShade="80"/>
          <w:sz w:val="21"/>
          <w:szCs w:val="21"/>
          <w:lang w:eastAsia="pt-BR"/>
        </w:rPr>
        <w:t xml:space="preserve"> DECIS</w:t>
      </w:r>
      <w:r w:rsidRPr="007460A6">
        <w:rPr>
          <w:rFonts w:ascii="inherit" w:eastAsia="Times New Roman" w:hAnsi="inherit" w:cs="Helvetica" w:hint="eastAsia"/>
          <w:b/>
          <w:i/>
          <w:color w:val="403152" w:themeColor="accent4" w:themeShade="80"/>
          <w:sz w:val="21"/>
          <w:szCs w:val="21"/>
          <w:lang w:eastAsia="pt-BR"/>
        </w:rPr>
        <w:t>Ã</w:t>
      </w:r>
      <w:r w:rsidRPr="007460A6">
        <w:rPr>
          <w:rFonts w:ascii="inherit" w:eastAsia="Times New Roman" w:hAnsi="inherit" w:cs="Helvetica"/>
          <w:b/>
          <w:i/>
          <w:color w:val="403152" w:themeColor="accent4" w:themeShade="80"/>
          <w:sz w:val="21"/>
          <w:szCs w:val="21"/>
          <w:lang w:eastAsia="pt-BR"/>
        </w:rPr>
        <w:t>O LIMINAR QUE PERMITE RETROCESSO NO ATENDIMENTO PSICOL</w:t>
      </w:r>
      <w:r w:rsidRPr="007460A6">
        <w:rPr>
          <w:rFonts w:ascii="inherit" w:eastAsia="Times New Roman" w:hAnsi="inherit" w:cs="Helvetica" w:hint="eastAsia"/>
          <w:b/>
          <w:i/>
          <w:color w:val="403152" w:themeColor="accent4" w:themeShade="80"/>
          <w:sz w:val="21"/>
          <w:szCs w:val="21"/>
          <w:lang w:eastAsia="pt-BR"/>
        </w:rPr>
        <w:t>Ó</w:t>
      </w:r>
      <w:r w:rsidRPr="007460A6">
        <w:rPr>
          <w:rFonts w:ascii="inherit" w:eastAsia="Times New Roman" w:hAnsi="inherit" w:cs="Helvetica"/>
          <w:b/>
          <w:i/>
          <w:color w:val="403152" w:themeColor="accent4" w:themeShade="80"/>
          <w:sz w:val="21"/>
          <w:szCs w:val="21"/>
          <w:lang w:eastAsia="pt-BR"/>
        </w:rPr>
        <w:t xml:space="preserve">GICO </w:t>
      </w:r>
      <w:r w:rsidRPr="007460A6">
        <w:rPr>
          <w:rFonts w:ascii="inherit" w:eastAsia="Times New Roman" w:hAnsi="inherit" w:cs="Helvetica" w:hint="eastAsia"/>
          <w:b/>
          <w:i/>
          <w:color w:val="403152" w:themeColor="accent4" w:themeShade="80"/>
          <w:sz w:val="21"/>
          <w:szCs w:val="21"/>
          <w:lang w:eastAsia="pt-BR"/>
        </w:rPr>
        <w:t>À</w:t>
      </w:r>
      <w:r w:rsidRPr="007460A6">
        <w:rPr>
          <w:rFonts w:ascii="inherit" w:eastAsia="Times New Roman" w:hAnsi="inherit" w:cs="Helvetica"/>
          <w:b/>
          <w:i/>
          <w:color w:val="403152" w:themeColor="accent4" w:themeShade="80"/>
          <w:sz w:val="21"/>
          <w:szCs w:val="21"/>
          <w:lang w:eastAsia="pt-BR"/>
        </w:rPr>
        <w:t xml:space="preserve"> LGBT,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inherit" w:eastAsia="Times New Roman" w:hAnsi="inherit" w:cs="Helvetica"/>
          <w:color w:val="1D2129"/>
          <w:sz w:val="21"/>
          <w:szCs w:val="21"/>
          <w:lang w:eastAsia="pt-BR"/>
        </w:rPr>
        <w:br/>
      </w: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O Conselho Municipal de Direitos de Lésbicas, Gays, Bissexuais, Travestis e Transexuais de Florianópolis/SC - CMD LGBT vem a público repudiar a liminar do juiz federal da 14ª Vara do DF, publicada no último dia 15/09, quando, segundo sua sentença, passa a ser permitido que profissionais da psicologia realizem terapias de reversão da orientação sexual. Esta decisão representa ao movimento LGBT uma ofensa aos direitos fundamentais e um retorno à década de 1990, tal como se referiu a Defensoria Pública de Brasília, diante de tamanho retrocesso.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O CMD LGBT tem realizado em suas ações enfrentamento da </w:t>
      </w:r>
      <w:proofErr w:type="spellStart"/>
      <w:proofErr w:type="gram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LGBTfobia</w:t>
      </w:r>
      <w:proofErr w:type="spellEnd"/>
      <w:proofErr w:type="gram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institucional em todos os órgãos e espaços públicos e privados, sempre na luta pela garantia de direitos e no acesso da população às políticas públicas, entretanto decisões como esta, que visa fragilizar a Resolução 001/99 do Conselho Federal de Psicologia nos leva de volta a um período obscurantista em que ser Lésbica, Gay, Bissexual, Travesti ou Transexual era ser objeto de estudos e intervenções, numa perspectiva higienista, e não menos segregacionista, do mesmo modo que vivenciamos no período em que a homossexualidade era </w:t>
      </w:r>
      <w:proofErr w:type="spell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patologizada</w:t>
      </w:r>
      <w:proofErr w:type="spell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e criminalizada. A proposta de uma nova interpretação a respeito dos atendimentos psicológicos, que abre brechas para terapia de reversão, nos remete às torturas físicas e psicológicas perpetradas, os tratamentos violentos a que LGBT foram submetidos e submetidas, a exemplo das lobotomias e das castrações químicas. Remonta às diversas denúncias em processos seletivos para ingresso ao trabalho nos quais </w:t>
      </w:r>
      <w:proofErr w:type="gram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psicólogos e psicólogas, responsáveis</w:t>
      </w:r>
      <w:proofErr w:type="gram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por seleções e entrevistas, levavam em conta a "moral e os bons costumes" dominantes, com vistas ao "diagnóstico" da homossexualidade como impeditivo.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Causa perplexidade tal decisório diante da histórica luta dos movimentos sociais LGBT pela </w:t>
      </w:r>
      <w:proofErr w:type="spell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despatologização</w:t>
      </w:r>
      <w:proofErr w:type="spell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da homossexualidade, assinada e aprovada pela Organização Mundial de Saúde - OMS em 1990, e consolidada no Brasil pelo instrumento técnico e político que representa para nós a </w:t>
      </w: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lastRenderedPageBreak/>
        <w:t xml:space="preserve">Resolução do Conselho Federal de Psicologia, publicada em 1999, na qual são estabelecidas as normas de atuação para </w:t>
      </w:r>
      <w:proofErr w:type="gram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psicólogos(</w:t>
      </w:r>
      <w:proofErr w:type="gram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as), no que se refere a questões relacionadas à sexualidade, proibindo o tratamento da homossexualidade como doença. Neste sentido, fica muito claro à população LGBT que o Conselho Federal de Psicologia de forma alguma proíbe que </w:t>
      </w:r>
      <w:proofErr w:type="gram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psicólogos(</w:t>
      </w:r>
      <w:proofErr w:type="gram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as) atendam pessoas que estejam em sofrimento psíquico por conta da orientação sexual que experienciam, tampouco pesquisas de qualquer tipo, mesmo por que já se sabe que não é a orientação sexual a doença, mas os processos discriminatórios, a heterossexualidade compulsória, o sexismo, o machismo exacerbado que ainda mata pessoas todos os dias, a misoginia que faz com que todos e todas que vivenciam e expressam a pluralidades dos gêneros e sexualidades devam pagar com sua vida, por serem considerados doentes, pervertidos, anormais e perigosos, em outras palavras, uma afronta a uma espécie de “</w:t>
      </w:r>
      <w:proofErr w:type="spell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machocratismo</w:t>
      </w:r>
      <w:proofErr w:type="spell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” que pune e violenta a livre expressão das diferentes formas de vida. 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Por outro lado, tal decisão instiga a nos manter </w:t>
      </w:r>
      <w:proofErr w:type="gram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mobilizados e mobilizadas também na luta</w:t>
      </w:r>
      <w:proofErr w:type="gram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pela </w:t>
      </w:r>
      <w:proofErr w:type="spell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despatologização</w:t>
      </w:r>
      <w:proofErr w:type="spell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das identidades trans. É impensável aceitarmos que em pleno século XXI ainda nos neguem a autonomia dos nossos corpos e pior, que determinados(as) médicos(as) e psicólogos(as), ou mesmo juízes(as), por falácias, tentem todos os dias nos regular e nos impor laudos e sentenças judiciais anulando direitos básicos, como o direito ao nome (como no caso das pessoas </w:t>
      </w:r>
      <w:proofErr w:type="spell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trans</w:t>
      </w:r>
      <w:proofErr w:type="spell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) e a uma existência digna.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O que adoece Lésbicas, Gays, Bissexuais, Travestis e Transexuais, principalmente na juventude propensa à prática de suicídios, é o preconceito e a discriminação, os estigmas do “pecado”, simplesmente, por amar alguém do mesmo sexo ou gênero, ou ainda, por querer um nome e um corpo que seja seu. O que merece a atenção dos profissionais sérios e responsáveis da medicina, da psicologia e do judiciário é a </w:t>
      </w:r>
      <w:proofErr w:type="spellStart"/>
      <w:proofErr w:type="gram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LGBTfobia</w:t>
      </w:r>
      <w:proofErr w:type="spellEnd"/>
      <w:proofErr w:type="gramEnd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 e as suas consequências.</w:t>
      </w: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br/>
        <w:t xml:space="preserve">Em verdade, qualquer pessoa que esteja em conflito com sua orientação sexual ou identidade de gênero pode e deve buscar apoio terapêutico, cabendo ao profissional da psicologia não o direcionamento para esta ou aquela orientação sexual, mas a utilização dos recursos e técnicas disponíveis e </w:t>
      </w: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lastRenderedPageBreak/>
        <w:t>reconhecidos pelos Conselho Federal de Psicologia para a promoção do autoconhecimento, da autoimagem e da autoestima dessa pessoa, tal como prevê a Resolução 001/99.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Tal decisão, além de deixar margem para o uso de terapias não reconhecidas cientificamente, não consiste apenas numa particular convicção de um magistrado, mas na articulação e orquestração perversa por setores fundamentalistas e reacionários da sociedade, através de diversas iniciativas nos âmbitos dos poderes executivo, legislativo e judiciário, no sentido de calar e oprimir a cidadania LGBT, a exemplo da retirada das discussões de gênero e diversidade dos planos estaduais e municipais de educação.</w:t>
      </w: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br/>
        <w:t>Ademais, uma decisão judicial não pode atentar contra o Estado Laico, garantidor da livre orientação sexual e da livre expressão das identidades de gênero.</w:t>
      </w: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br/>
        <w:t>Nesse sentido, o Conselho Municipal de Lésbicas, Gays, Bissexuais, Travestis e Transexuais – CMD LGBT apoia o Conselho Federal de Psicologia em seu compromisso ético e científico de não permitir que os mercadores da fé, em suas pregações de ódio, venham transformar a psicologia em mercado, pois é isto que causa sofrimento e adoecimento de Lésbicas, Gays, Bissexuais, Travestis e Transexuais e suas famílias.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LGBT existem e resistem!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Não existe liberdade de expressão que viole direitos!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Florianópolis, 20 de setembro de 2017.</w:t>
      </w:r>
    </w:p>
    <w:p w:rsid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bookmarkStart w:id="0" w:name="_GoBack"/>
      <w:bookmarkEnd w:id="0"/>
    </w:p>
    <w:p w:rsidR="007460A6" w:rsidRPr="007460A6" w:rsidRDefault="007460A6" w:rsidP="007460A6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1D2129"/>
          <w:sz w:val="24"/>
          <w:szCs w:val="24"/>
          <w:lang w:eastAsia="pt-BR"/>
        </w:rPr>
      </w:pPr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 xml:space="preserve">Conselho Municipal de Direitos de Lésbicas, Gays, Bissexuais, Travestis e Transexuais de Florianópolis/SC - CMD </w:t>
      </w:r>
      <w:proofErr w:type="gramStart"/>
      <w:r w:rsidRPr="007460A6">
        <w:rPr>
          <w:rFonts w:ascii="Arial" w:eastAsia="Times New Roman" w:hAnsi="Arial" w:cs="Arial"/>
          <w:color w:val="1D2129"/>
          <w:sz w:val="24"/>
          <w:szCs w:val="24"/>
          <w:lang w:eastAsia="pt-BR"/>
        </w:rPr>
        <w:t>LGBT</w:t>
      </w:r>
      <w:proofErr w:type="gramEnd"/>
    </w:p>
    <w:p w:rsidR="006D49F3" w:rsidRPr="007460A6" w:rsidRDefault="007460A6" w:rsidP="007460A6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sectPr w:rsidR="006D49F3" w:rsidRPr="00746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A6"/>
    <w:rsid w:val="00027949"/>
    <w:rsid w:val="007460A6"/>
    <w:rsid w:val="00CB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460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460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-3391031884650755060gmail-fwb">
    <w:name w:val="m_-3391031884650755060gmail-fwb"/>
    <w:basedOn w:val="Fontepargpadro"/>
    <w:rsid w:val="007460A6"/>
  </w:style>
  <w:style w:type="character" w:styleId="Hyperlink">
    <w:name w:val="Hyperlink"/>
    <w:basedOn w:val="Fontepargpadro"/>
    <w:uiPriority w:val="99"/>
    <w:semiHidden/>
    <w:unhideWhenUsed/>
    <w:rsid w:val="007460A6"/>
    <w:rPr>
      <w:color w:val="0000FF"/>
      <w:u w:val="single"/>
    </w:rPr>
  </w:style>
  <w:style w:type="character" w:customStyle="1" w:styleId="m-3391031884650755060gmail-fsm">
    <w:name w:val="m_-3391031884650755060gmail-fsm"/>
    <w:basedOn w:val="Fontepargpadro"/>
    <w:rsid w:val="007460A6"/>
  </w:style>
  <w:style w:type="paragraph" w:styleId="NormalWeb">
    <w:name w:val="Normal (Web)"/>
    <w:basedOn w:val="Normal"/>
    <w:uiPriority w:val="99"/>
    <w:semiHidden/>
    <w:unhideWhenUsed/>
    <w:rsid w:val="0074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460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460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-3391031884650755060gmail-fwb">
    <w:name w:val="m_-3391031884650755060gmail-fwb"/>
    <w:basedOn w:val="Fontepargpadro"/>
    <w:rsid w:val="007460A6"/>
  </w:style>
  <w:style w:type="character" w:styleId="Hyperlink">
    <w:name w:val="Hyperlink"/>
    <w:basedOn w:val="Fontepargpadro"/>
    <w:uiPriority w:val="99"/>
    <w:semiHidden/>
    <w:unhideWhenUsed/>
    <w:rsid w:val="007460A6"/>
    <w:rPr>
      <w:color w:val="0000FF"/>
      <w:u w:val="single"/>
    </w:rPr>
  </w:style>
  <w:style w:type="character" w:customStyle="1" w:styleId="m-3391031884650755060gmail-fsm">
    <w:name w:val="m_-3391031884650755060gmail-fsm"/>
    <w:basedOn w:val="Fontepargpadro"/>
    <w:rsid w:val="007460A6"/>
  </w:style>
  <w:style w:type="paragraph" w:styleId="NormalWeb">
    <w:name w:val="Normal (Web)"/>
    <w:basedOn w:val="Normal"/>
    <w:uiPriority w:val="99"/>
    <w:semiHidden/>
    <w:unhideWhenUsed/>
    <w:rsid w:val="0074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37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2017-12-04T17:59:00Z</dcterms:created>
  <dcterms:modified xsi:type="dcterms:W3CDTF">2017-12-04T18:04:00Z</dcterms:modified>
</cp:coreProperties>
</file>