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A8436A">
          <w:pPr>
            <w:pStyle w:val="SemEspaamento"/>
            <w:rPr>
              <w:rFonts w:asciiTheme="majorHAnsi" w:eastAsiaTheme="majorEastAsia" w:hAnsiTheme="majorHAnsi" w:cstheme="majorBidi"/>
              <w:sz w:val="72"/>
              <w:szCs w:val="72"/>
            </w:rPr>
          </w:pPr>
          <w:r w:rsidRPr="00A8436A">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A8436A">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A8436A">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A8436A">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5B21B4">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Outubro</w:t>
              </w:r>
              <w:r w:rsidR="00FA6A22">
                <w:rPr>
                  <w:rFonts w:asciiTheme="majorHAnsi" w:eastAsiaTheme="majorEastAsia" w:hAnsiTheme="majorHAnsi" w:cstheme="majorBidi"/>
                  <w:sz w:val="36"/>
                  <w:szCs w:val="36"/>
                  <w:u w:val="single"/>
                  <w:lang w:val="pt-BR"/>
                </w:rPr>
                <w:t xml:space="preserve"> de 2017</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C269C8">
          <w:pPr>
            <w:pStyle w:val="SemEspaamento"/>
            <w:rPr>
              <w:lang w:val="pt-BR"/>
            </w:rPr>
          </w:pPr>
          <w:r>
            <w:rPr>
              <w:rFonts w:asciiTheme="majorHAnsi" w:eastAsiaTheme="majorEastAsia" w:hAnsiTheme="majorHAnsi" w:cstheme="majorBidi"/>
              <w:lang w:val="pt-BR"/>
            </w:rPr>
            <w:t>16/11</w:t>
          </w:r>
          <w:r w:rsidR="00FA6A22">
            <w:rPr>
              <w:rFonts w:asciiTheme="majorHAnsi" w:eastAsiaTheme="majorEastAsia" w:hAnsiTheme="majorHAnsi" w:cstheme="majorBidi"/>
              <w:lang w:val="pt-BR"/>
            </w:rPr>
            <w:t>/2017</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 partir dos resultados obtidos</w:t>
      </w:r>
      <w:r w:rsidR="002A33D9">
        <w:rPr>
          <w:rFonts w:ascii="Arial" w:hAnsi="Arial" w:cs="Arial"/>
          <w:lang w:val="pt-BR"/>
        </w:rPr>
        <w:t>,</w:t>
      </w:r>
      <w:r w:rsidRPr="002B53C4">
        <w:rPr>
          <w:rFonts w:ascii="Arial" w:hAnsi="Arial" w:cs="Arial"/>
          <w:lang w:val="pt-BR"/>
        </w:rPr>
        <w:t xml:space="preserve">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É exigência do Ministério da Saúde que os dados obtidos através das análises da qualidade da água para consumo humano estejam disponíveis para a população usuária conforme artigo 12º inciso V da Portaria 2914/2011:</w:t>
      </w:r>
    </w:p>
    <w:p w:rsidR="002B53C4" w:rsidRPr="002B53C4" w:rsidRDefault="002B53C4" w:rsidP="00EA2CBA">
      <w:pPr>
        <w:autoSpaceDE w:val="0"/>
        <w:autoSpaceDN w:val="0"/>
        <w:adjustRightInd w:val="0"/>
        <w:spacing w:after="0" w:line="24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Default="002B53C4" w:rsidP="00EA2CBA">
      <w:pPr>
        <w:pStyle w:val="Default"/>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0064059D">
        <w:rPr>
          <w:i/>
          <w:sz w:val="22"/>
          <w:szCs w:val="22"/>
          <w:lang w:val="pt-BR"/>
        </w:rPr>
        <w:t>.</w:t>
      </w:r>
    </w:p>
    <w:p w:rsidR="00EA2CBA" w:rsidRDefault="00EA2CBA" w:rsidP="00EA2CBA">
      <w:pPr>
        <w:pStyle w:val="Default"/>
        <w:ind w:left="2268"/>
        <w:jc w:val="both"/>
        <w:rPr>
          <w:bCs/>
          <w:sz w:val="22"/>
          <w:szCs w:val="22"/>
          <w:lang w:val="pt-BR"/>
        </w:rPr>
      </w:pPr>
    </w:p>
    <w:p w:rsidR="00EA2CBA" w:rsidRDefault="00EA2CBA" w:rsidP="00EA2CBA">
      <w:pPr>
        <w:pStyle w:val="Default"/>
        <w:spacing w:line="360" w:lineRule="auto"/>
        <w:ind w:firstLine="1134"/>
        <w:jc w:val="both"/>
        <w:rPr>
          <w:sz w:val="22"/>
          <w:szCs w:val="22"/>
          <w:lang w:val="pt-BR"/>
        </w:rPr>
      </w:pPr>
      <w:r>
        <w:rPr>
          <w:sz w:val="22"/>
          <w:szCs w:val="22"/>
          <w:lang w:val="pt-BR"/>
        </w:rPr>
        <w:t>O acesso aos dados de qualidade da água pela população também está regulamentado pelo Decreto 5440/2005 que assim estabelece:</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sidRPr="00EA2CBA">
        <w:rPr>
          <w:rFonts w:ascii="Arial" w:eastAsia="Times New Roman" w:hAnsi="Arial" w:cs="Arial"/>
          <w:i/>
          <w:lang w:val="pt-BR" w:eastAsia="pt-BR"/>
        </w:rPr>
        <w:t xml:space="preserve"> </w:t>
      </w:r>
      <w:bookmarkStart w:id="0" w:name="art17"/>
      <w:bookmarkEnd w:id="0"/>
      <w:r w:rsidRPr="00EA2CBA">
        <w:rPr>
          <w:rFonts w:ascii="Arial" w:eastAsia="Times New Roman" w:hAnsi="Arial" w:cs="Arial"/>
          <w:i/>
          <w:lang w:val="pt-BR" w:eastAsia="pt-BR"/>
        </w:rPr>
        <w:t>Art. 17.  Compete aos órgãos de saúde responsáveis pela vigilância da qualidade da água para consumo humano:</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Pr>
          <w:rFonts w:ascii="Arial" w:eastAsia="Times New Roman" w:hAnsi="Arial" w:cs="Arial"/>
          <w:i/>
          <w:lang w:val="pt-BR" w:eastAsia="pt-BR"/>
        </w:rPr>
        <w:t> </w:t>
      </w:r>
      <w:r w:rsidRPr="00EA2CBA">
        <w:rPr>
          <w:rFonts w:ascii="Arial" w:eastAsia="Times New Roman" w:hAnsi="Arial" w:cs="Arial"/>
          <w:i/>
          <w:lang w:val="pt-BR" w:eastAsia="pt-BR"/>
        </w:rPr>
        <w:t>I - manter registros atualizados sobre as características da água distribuída, sistematizados de forma compreensível à população e disponibilizados para pronto acesso e consulta pública;</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A2CBA">
        <w:rPr>
          <w:rFonts w:ascii="Arial" w:hAnsi="Arial" w:cs="Arial"/>
          <w:lang w:val="pt-BR"/>
        </w:rPr>
        <w:t xml:space="preserve"> </w:t>
      </w:r>
      <w:r w:rsidRPr="002B53C4">
        <w:rPr>
          <w:rFonts w:ascii="Arial" w:hAnsi="Arial" w:cs="Arial"/>
          <w:lang w:val="pt-BR"/>
        </w:rPr>
        <w:t xml:space="preserve">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5B21B4">
        <w:rPr>
          <w:rFonts w:ascii="Arial" w:hAnsi="Arial" w:cs="Arial"/>
          <w:u w:val="single"/>
          <w:lang w:val="pt-BR"/>
        </w:rPr>
        <w:t>Outubro</w:t>
      </w:r>
      <w:r w:rsidR="002B34E9">
        <w:rPr>
          <w:rFonts w:ascii="Arial" w:hAnsi="Arial" w:cs="Arial"/>
          <w:u w:val="single"/>
          <w:lang w:val="pt-BR"/>
        </w:rPr>
        <w:t xml:space="preserve"> de 2017</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4024"/>
        <w:gridCol w:w="1187"/>
      </w:tblGrid>
      <w:tr w:rsidR="00782B26" w:rsidRPr="00347CC3" w:rsidTr="000631C0">
        <w:trPr>
          <w:trHeight w:val="355"/>
        </w:trPr>
        <w:tc>
          <w:tcPr>
            <w:tcW w:w="4024" w:type="dxa"/>
            <w:vAlign w:val="center"/>
          </w:tcPr>
          <w:p w:rsidR="002B53C4" w:rsidRPr="00347CC3" w:rsidRDefault="00A8436A" w:rsidP="000631C0">
            <w:pPr>
              <w:autoSpaceDE w:val="0"/>
              <w:autoSpaceDN w:val="0"/>
              <w:adjustRightInd w:val="0"/>
              <w:spacing w:before="120" w:after="120"/>
              <w:jc w:val="center"/>
              <w:rPr>
                <w:rFonts w:ascii="Arial" w:hAnsi="Arial" w:cs="Arial"/>
                <w:sz w:val="20"/>
                <w:szCs w:val="20"/>
                <w:lang w:val="pt-BR"/>
              </w:rPr>
            </w:pPr>
            <w:r w:rsidRPr="00A8436A">
              <w:rPr>
                <w:b/>
                <w:noProof/>
                <w:sz w:val="20"/>
                <w:szCs w:val="20"/>
                <w:lang w:val="pt-BR" w:eastAsia="pt-BR" w:bidi="ar-SA"/>
              </w:rPr>
              <w:lastRenderedPageBreak/>
              <w:pict>
                <v:roundrect id="_x0000_s1046" style="position:absolute;left:0;text-align:left;margin-left:3517.3pt;margin-top:0;width:161.25pt;height:672.6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2914/11 do Ministério da Saúde,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r w:rsidR="002B53C4"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vAlign w:val="center"/>
          </w:tcPr>
          <w:p w:rsidR="002B53C4" w:rsidRPr="00347CC3" w:rsidRDefault="002B53C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43</w:t>
            </w:r>
          </w:p>
        </w:tc>
      </w:tr>
      <w:tr w:rsidR="00782B26" w:rsidRPr="00347CC3" w:rsidTr="000631C0">
        <w:trPr>
          <w:trHeight w:val="366"/>
        </w:trPr>
        <w:tc>
          <w:tcPr>
            <w:tcW w:w="4024" w:type="dxa"/>
            <w:vAlign w:val="center"/>
          </w:tcPr>
          <w:p w:rsidR="002B53C4" w:rsidRPr="00347CC3" w:rsidRDefault="002B53C4" w:rsidP="005B21B4">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5B21B4">
              <w:rPr>
                <w:rFonts w:ascii="Arial" w:hAnsi="Arial" w:cs="Arial"/>
                <w:sz w:val="20"/>
                <w:szCs w:val="20"/>
                <w:u w:val="single"/>
                <w:lang w:val="pt-BR"/>
              </w:rPr>
              <w:t>Outubro</w:t>
            </w:r>
            <w:r w:rsidR="002B34E9">
              <w:rPr>
                <w:rFonts w:ascii="Arial" w:hAnsi="Arial" w:cs="Arial"/>
                <w:sz w:val="20"/>
                <w:szCs w:val="20"/>
                <w:u w:val="single"/>
                <w:lang w:val="pt-BR"/>
              </w:rPr>
              <w:t xml:space="preserve"> de 2017</w:t>
            </w:r>
          </w:p>
        </w:tc>
        <w:tc>
          <w:tcPr>
            <w:tcW w:w="1187" w:type="dxa"/>
            <w:vAlign w:val="center"/>
          </w:tcPr>
          <w:p w:rsidR="002B53C4" w:rsidRPr="00347CC3" w:rsidRDefault="001710D2"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rPr>
              <w:t>77</w:t>
            </w:r>
          </w:p>
        </w:tc>
      </w:tr>
      <w:tr w:rsidR="00782B26" w:rsidRPr="00347CC3" w:rsidTr="000631C0">
        <w:trPr>
          <w:trHeight w:val="366"/>
        </w:trPr>
        <w:tc>
          <w:tcPr>
            <w:tcW w:w="4024" w:type="dxa"/>
            <w:vAlign w:val="center"/>
          </w:tcPr>
          <w:p w:rsidR="00347CC3" w:rsidRPr="00347CC3" w:rsidRDefault="00347CC3" w:rsidP="005B21B4">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5B21B4">
              <w:rPr>
                <w:rFonts w:ascii="Arial" w:hAnsi="Arial" w:cs="Arial"/>
                <w:sz w:val="20"/>
                <w:szCs w:val="20"/>
                <w:u w:val="single"/>
                <w:lang w:val="pt-BR"/>
              </w:rPr>
              <w:t>Outubro</w:t>
            </w:r>
            <w:r w:rsidR="002B34E9">
              <w:rPr>
                <w:rFonts w:ascii="Arial" w:hAnsi="Arial" w:cs="Arial"/>
                <w:sz w:val="20"/>
                <w:szCs w:val="20"/>
                <w:u w:val="single"/>
                <w:lang w:val="pt-BR"/>
              </w:rPr>
              <w:t xml:space="preserve"> de 2017</w:t>
            </w:r>
          </w:p>
        </w:tc>
        <w:tc>
          <w:tcPr>
            <w:tcW w:w="1187" w:type="dxa"/>
            <w:vAlign w:val="center"/>
          </w:tcPr>
          <w:p w:rsidR="00347CC3" w:rsidRPr="00347CC3" w:rsidRDefault="001940AE" w:rsidP="005E2CA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6</w:t>
            </w:r>
            <w:r w:rsidR="001710D2">
              <w:rPr>
                <w:rFonts w:ascii="Arial" w:hAnsi="Arial" w:cs="Arial"/>
                <w:sz w:val="20"/>
                <w:szCs w:val="20"/>
                <w:lang w:val="pt-BR"/>
              </w:rPr>
              <w:t>5</w:t>
            </w:r>
          </w:p>
        </w:tc>
      </w:tr>
      <w:tr w:rsidR="00782B26" w:rsidRPr="00347CC3" w:rsidTr="000631C0">
        <w:trPr>
          <w:trHeight w:val="366"/>
        </w:trPr>
        <w:tc>
          <w:tcPr>
            <w:tcW w:w="4024" w:type="dxa"/>
            <w:vAlign w:val="center"/>
          </w:tcPr>
          <w:p w:rsidR="00347CC3" w:rsidRPr="00347CC3" w:rsidRDefault="00347CC3" w:rsidP="005B21B4">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5B21B4">
              <w:rPr>
                <w:rFonts w:ascii="Arial" w:hAnsi="Arial" w:cs="Arial"/>
                <w:sz w:val="20"/>
                <w:szCs w:val="20"/>
                <w:u w:val="single"/>
                <w:lang w:val="pt-BR"/>
              </w:rPr>
              <w:t>Outubro</w:t>
            </w:r>
            <w:r w:rsidR="002B34E9">
              <w:rPr>
                <w:rFonts w:ascii="Arial" w:hAnsi="Arial" w:cs="Arial"/>
                <w:sz w:val="20"/>
                <w:szCs w:val="20"/>
                <w:u w:val="single"/>
                <w:lang w:val="pt-BR"/>
              </w:rPr>
              <w:t xml:space="preserve"> de 2017</w:t>
            </w:r>
          </w:p>
        </w:tc>
        <w:tc>
          <w:tcPr>
            <w:tcW w:w="1187" w:type="dxa"/>
            <w:vAlign w:val="center"/>
          </w:tcPr>
          <w:p w:rsidR="00347CC3" w:rsidRPr="00347CC3" w:rsidRDefault="001710D2"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12</w:t>
            </w:r>
          </w:p>
        </w:tc>
      </w:tr>
      <w:tr w:rsidR="00782B26" w:rsidRPr="00782B26" w:rsidTr="000631C0">
        <w:trPr>
          <w:trHeight w:val="366"/>
        </w:trPr>
        <w:tc>
          <w:tcPr>
            <w:tcW w:w="4024" w:type="dxa"/>
            <w:vAlign w:val="center"/>
          </w:tcPr>
          <w:p w:rsidR="00EA2264" w:rsidRPr="00347CC3" w:rsidRDefault="00EA226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Número total de amostras com parâmetros em desacordo com a Portaria 2914/11</w:t>
            </w:r>
          </w:p>
        </w:tc>
        <w:tc>
          <w:tcPr>
            <w:tcW w:w="1187" w:type="dxa"/>
            <w:vAlign w:val="center"/>
          </w:tcPr>
          <w:p w:rsidR="00EA2264" w:rsidRPr="00347CC3" w:rsidRDefault="001710D2" w:rsidP="001710D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27</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085"/>
        <w:gridCol w:w="479"/>
        <w:gridCol w:w="1661"/>
      </w:tblGrid>
      <w:tr w:rsidR="00375429" w:rsidRPr="004951C6" w:rsidTr="000631C0">
        <w:tc>
          <w:tcPr>
            <w:tcW w:w="3564" w:type="dxa"/>
            <w:gridSpan w:val="2"/>
            <w:vAlign w:val="center"/>
          </w:tcPr>
          <w:p w:rsidR="008A05CE" w:rsidRDefault="008A05CE" w:rsidP="000631C0">
            <w:pPr>
              <w:pStyle w:val="Default"/>
              <w:spacing w:before="120" w:after="120"/>
              <w:jc w:val="center"/>
              <w:rPr>
                <w:color w:val="auto"/>
                <w:sz w:val="20"/>
                <w:szCs w:val="20"/>
              </w:rPr>
            </w:pPr>
            <w:r>
              <w:rPr>
                <w:color w:val="auto"/>
                <w:sz w:val="20"/>
                <w:szCs w:val="20"/>
              </w:rPr>
              <w:t>COLIFORMES TOTAIS</w:t>
            </w:r>
          </w:p>
        </w:tc>
        <w:tc>
          <w:tcPr>
            <w:tcW w:w="1661" w:type="dxa"/>
            <w:vAlign w:val="center"/>
          </w:tcPr>
          <w:p w:rsidR="008A05CE" w:rsidRPr="00347CC3" w:rsidRDefault="008A05CE" w:rsidP="000631C0">
            <w:pPr>
              <w:pStyle w:val="Default"/>
              <w:spacing w:before="120" w:after="120"/>
              <w:jc w:val="center"/>
              <w:rPr>
                <w:color w:val="auto"/>
                <w:sz w:val="20"/>
                <w:szCs w:val="20"/>
                <w:lang w:val="pt-BR"/>
              </w:rPr>
            </w:pPr>
            <w:r>
              <w:rPr>
                <w:color w:val="auto"/>
                <w:sz w:val="20"/>
                <w:szCs w:val="20"/>
                <w:lang w:val="pt-BR"/>
              </w:rPr>
              <w:t>LOCAL DE OCORRÊNCIA</w:t>
            </w:r>
          </w:p>
        </w:tc>
      </w:tr>
      <w:tr w:rsidR="00375429" w:rsidRPr="001940AE" w:rsidTr="000631C0">
        <w:tc>
          <w:tcPr>
            <w:tcW w:w="3085" w:type="dxa"/>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79" w:type="dxa"/>
            <w:vAlign w:val="center"/>
          </w:tcPr>
          <w:p w:rsidR="00347CC3" w:rsidRPr="00347CC3" w:rsidRDefault="005C22F6" w:rsidP="000631C0">
            <w:pPr>
              <w:pStyle w:val="Default"/>
              <w:spacing w:before="120" w:after="120"/>
              <w:jc w:val="center"/>
              <w:rPr>
                <w:color w:val="auto"/>
                <w:sz w:val="20"/>
                <w:szCs w:val="20"/>
              </w:rPr>
            </w:pPr>
            <w:r>
              <w:rPr>
                <w:color w:val="auto"/>
                <w:sz w:val="20"/>
                <w:szCs w:val="20"/>
              </w:rPr>
              <w:t>0</w:t>
            </w:r>
          </w:p>
        </w:tc>
        <w:tc>
          <w:tcPr>
            <w:tcW w:w="1661" w:type="dxa"/>
            <w:vAlign w:val="center"/>
          </w:tcPr>
          <w:p w:rsidR="00347CC3" w:rsidRPr="00347CC3" w:rsidRDefault="00347CC3" w:rsidP="000631C0">
            <w:pPr>
              <w:pStyle w:val="Default"/>
              <w:spacing w:before="120" w:after="120"/>
              <w:jc w:val="center"/>
              <w:rPr>
                <w:color w:val="auto"/>
                <w:sz w:val="20"/>
                <w:szCs w:val="20"/>
                <w:lang w:val="pt-BR"/>
              </w:rPr>
            </w:pPr>
          </w:p>
        </w:tc>
      </w:tr>
      <w:tr w:rsidR="00375429" w:rsidRPr="00C269C8" w:rsidTr="000631C0">
        <w:tc>
          <w:tcPr>
            <w:tcW w:w="3085" w:type="dxa"/>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79" w:type="dxa"/>
            <w:vAlign w:val="center"/>
          </w:tcPr>
          <w:p w:rsidR="00347CC3" w:rsidRPr="000E62CF" w:rsidRDefault="00435AD9" w:rsidP="000631C0">
            <w:pPr>
              <w:pStyle w:val="Default"/>
              <w:spacing w:before="120" w:after="120"/>
              <w:jc w:val="center"/>
              <w:rPr>
                <w:sz w:val="20"/>
                <w:szCs w:val="20"/>
                <w:lang w:val="pt-BR"/>
              </w:rPr>
            </w:pPr>
            <w:r>
              <w:rPr>
                <w:sz w:val="20"/>
                <w:szCs w:val="20"/>
                <w:lang w:val="pt-BR"/>
              </w:rPr>
              <w:t>1</w:t>
            </w:r>
          </w:p>
        </w:tc>
        <w:tc>
          <w:tcPr>
            <w:tcW w:w="1661" w:type="dxa"/>
            <w:vAlign w:val="center"/>
          </w:tcPr>
          <w:p w:rsidR="00347CC3" w:rsidRPr="00347CC3" w:rsidRDefault="00435AD9" w:rsidP="000631C0">
            <w:pPr>
              <w:pStyle w:val="Default"/>
              <w:spacing w:before="120" w:after="120"/>
              <w:jc w:val="center"/>
              <w:rPr>
                <w:sz w:val="20"/>
                <w:szCs w:val="20"/>
                <w:lang w:val="pt-BR"/>
              </w:rPr>
            </w:pPr>
            <w:r>
              <w:rPr>
                <w:sz w:val="20"/>
                <w:szCs w:val="20"/>
                <w:lang w:val="pt-BR"/>
              </w:rPr>
              <w:t>Monte Verde</w:t>
            </w:r>
          </w:p>
        </w:tc>
      </w:tr>
    </w:tbl>
    <w:p w:rsidR="00A32926" w:rsidRDefault="00A32926" w:rsidP="00D11B2D">
      <w:pPr>
        <w:pStyle w:val="Default"/>
        <w:spacing w:line="360" w:lineRule="auto"/>
        <w:ind w:firstLine="1134"/>
        <w:jc w:val="both"/>
        <w:rPr>
          <w:b/>
          <w:sz w:val="22"/>
          <w:szCs w:val="22"/>
          <w:lang w:val="pt-BR"/>
        </w:rPr>
      </w:pPr>
    </w:p>
    <w:tbl>
      <w:tblPr>
        <w:tblStyle w:val="Tabelacomgrade"/>
        <w:tblW w:w="0" w:type="auto"/>
        <w:tblLayout w:type="fixed"/>
        <w:tblLook w:val="04A0"/>
      </w:tblPr>
      <w:tblGrid>
        <w:gridCol w:w="3085"/>
        <w:gridCol w:w="425"/>
        <w:gridCol w:w="1701"/>
      </w:tblGrid>
      <w:tr w:rsidR="009B5158" w:rsidRPr="006E5478" w:rsidTr="000631C0">
        <w:trPr>
          <w:trHeight w:val="667"/>
        </w:trPr>
        <w:tc>
          <w:tcPr>
            <w:tcW w:w="3510" w:type="dxa"/>
            <w:gridSpan w:val="2"/>
            <w:vAlign w:val="center"/>
          </w:tcPr>
          <w:p w:rsidR="009B5158" w:rsidRPr="000E62CF" w:rsidRDefault="009B5158" w:rsidP="000631C0">
            <w:pPr>
              <w:pStyle w:val="Default"/>
              <w:spacing w:before="120" w:after="120"/>
              <w:jc w:val="center"/>
              <w:rPr>
                <w:color w:val="auto"/>
                <w:sz w:val="20"/>
                <w:szCs w:val="20"/>
                <w:lang w:val="pt-BR"/>
              </w:rPr>
            </w:pPr>
            <w:r w:rsidRPr="006E5478">
              <w:rPr>
                <w:i/>
                <w:color w:val="auto"/>
                <w:sz w:val="20"/>
                <w:szCs w:val="20"/>
                <w:lang w:val="pt-BR"/>
              </w:rPr>
              <w:t>Escherichia coli*</w:t>
            </w:r>
          </w:p>
        </w:tc>
        <w:tc>
          <w:tcPr>
            <w:tcW w:w="1701" w:type="dxa"/>
            <w:vAlign w:val="center"/>
          </w:tcPr>
          <w:p w:rsidR="009B5158" w:rsidRPr="006E5478" w:rsidRDefault="009B5158" w:rsidP="000631C0">
            <w:pPr>
              <w:pStyle w:val="Default"/>
              <w:spacing w:before="120" w:after="120"/>
              <w:jc w:val="center"/>
              <w:rPr>
                <w:color w:val="auto"/>
                <w:sz w:val="20"/>
                <w:szCs w:val="20"/>
              </w:rPr>
            </w:pPr>
            <w:r w:rsidRPr="006E5478">
              <w:rPr>
                <w:sz w:val="20"/>
                <w:szCs w:val="20"/>
              </w:rPr>
              <w:t>LOCAL DE OCORRÊNCIA</w:t>
            </w:r>
          </w:p>
        </w:tc>
      </w:tr>
      <w:tr w:rsidR="00A32926" w:rsidRPr="00FA6A22" w:rsidTr="000631C0">
        <w:trPr>
          <w:trHeight w:val="971"/>
        </w:trPr>
        <w:tc>
          <w:tcPr>
            <w:tcW w:w="3085"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(sistema CASAN)</w:t>
            </w:r>
          </w:p>
        </w:tc>
        <w:tc>
          <w:tcPr>
            <w:tcW w:w="425" w:type="dxa"/>
            <w:vAlign w:val="center"/>
          </w:tcPr>
          <w:p w:rsidR="00A32926" w:rsidRPr="006E5478" w:rsidRDefault="00A51DAD" w:rsidP="000631C0">
            <w:pPr>
              <w:pStyle w:val="Default"/>
              <w:spacing w:before="120" w:after="120"/>
              <w:jc w:val="center"/>
              <w:rPr>
                <w:color w:val="auto"/>
                <w:sz w:val="20"/>
                <w:szCs w:val="20"/>
              </w:rPr>
            </w:pPr>
            <w:r>
              <w:rPr>
                <w:color w:val="auto"/>
                <w:sz w:val="20"/>
                <w:szCs w:val="20"/>
              </w:rPr>
              <w:t>0</w:t>
            </w:r>
          </w:p>
        </w:tc>
        <w:tc>
          <w:tcPr>
            <w:tcW w:w="1701" w:type="dxa"/>
            <w:vAlign w:val="center"/>
          </w:tcPr>
          <w:p w:rsidR="00A32926" w:rsidRPr="006E5478" w:rsidRDefault="00A32926" w:rsidP="000631C0">
            <w:pPr>
              <w:pStyle w:val="Default"/>
              <w:spacing w:before="120" w:after="120"/>
              <w:jc w:val="center"/>
              <w:rPr>
                <w:color w:val="auto"/>
                <w:sz w:val="20"/>
                <w:szCs w:val="20"/>
                <w:lang w:val="pt-BR"/>
              </w:rPr>
            </w:pPr>
          </w:p>
        </w:tc>
      </w:tr>
      <w:tr w:rsidR="00A32926" w:rsidRPr="00C269C8" w:rsidTr="000631C0">
        <w:tc>
          <w:tcPr>
            <w:tcW w:w="3085"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sistemas/soluções)</w:t>
            </w:r>
          </w:p>
        </w:tc>
        <w:tc>
          <w:tcPr>
            <w:tcW w:w="425" w:type="dxa"/>
            <w:vAlign w:val="center"/>
          </w:tcPr>
          <w:p w:rsidR="00A32926" w:rsidRPr="006E5478" w:rsidRDefault="00435AD9" w:rsidP="000631C0">
            <w:pPr>
              <w:pStyle w:val="Default"/>
              <w:spacing w:before="120" w:after="120"/>
              <w:jc w:val="center"/>
              <w:rPr>
                <w:color w:val="auto"/>
                <w:sz w:val="20"/>
                <w:szCs w:val="20"/>
                <w:lang w:val="pt-BR"/>
              </w:rPr>
            </w:pPr>
            <w:r>
              <w:rPr>
                <w:color w:val="auto"/>
                <w:sz w:val="20"/>
                <w:szCs w:val="20"/>
                <w:lang w:val="pt-BR"/>
              </w:rPr>
              <w:t>1</w:t>
            </w:r>
          </w:p>
        </w:tc>
        <w:tc>
          <w:tcPr>
            <w:tcW w:w="1701" w:type="dxa"/>
            <w:vAlign w:val="center"/>
          </w:tcPr>
          <w:p w:rsidR="00A32926" w:rsidRPr="006E5478" w:rsidRDefault="00435AD9" w:rsidP="000631C0">
            <w:pPr>
              <w:pStyle w:val="Default"/>
              <w:spacing w:before="120" w:after="120"/>
              <w:jc w:val="center"/>
              <w:rPr>
                <w:color w:val="auto"/>
                <w:sz w:val="20"/>
                <w:szCs w:val="20"/>
                <w:lang w:val="pt-BR"/>
              </w:rPr>
            </w:pPr>
            <w:r>
              <w:rPr>
                <w:color w:val="auto"/>
                <w:sz w:val="20"/>
                <w:szCs w:val="20"/>
                <w:lang w:val="pt-BR"/>
              </w:rPr>
              <w:t>Monte Verde</w:t>
            </w: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0631C0">
        <w:trPr>
          <w:trHeight w:val="1036"/>
        </w:trPr>
        <w:tc>
          <w:tcPr>
            <w:tcW w:w="2686" w:type="dxa"/>
            <w:gridSpan w:val="2"/>
            <w:vAlign w:val="center"/>
          </w:tcPr>
          <w:p w:rsidR="00E7625F" w:rsidRPr="00720ABD" w:rsidRDefault="00A8436A" w:rsidP="000631C0">
            <w:pPr>
              <w:pStyle w:val="Default"/>
              <w:jc w:val="center"/>
              <w:rPr>
                <w:sz w:val="20"/>
                <w:szCs w:val="20"/>
                <w:lang w:val="pt-BR"/>
              </w:rPr>
            </w:pPr>
            <w:r>
              <w:rPr>
                <w:noProof/>
                <w:sz w:val="20"/>
                <w:szCs w:val="20"/>
                <w:lang w:val="pt-BR" w:eastAsia="pt-BR" w:bidi="ar-SA"/>
              </w:rPr>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vAlign w:val="center"/>
          </w:tcPr>
          <w:p w:rsidR="00E7625F" w:rsidRPr="00720ABD" w:rsidRDefault="0097381F" w:rsidP="000631C0">
            <w:pPr>
              <w:pStyle w:val="Default"/>
              <w:jc w:val="center"/>
              <w:rPr>
                <w:sz w:val="20"/>
                <w:szCs w:val="20"/>
              </w:rPr>
            </w:pPr>
            <w:r w:rsidRPr="00720ABD">
              <w:rPr>
                <w:sz w:val="20"/>
                <w:szCs w:val="20"/>
              </w:rPr>
              <w:t>LOCAL DE OCORRÊNCIA</w:t>
            </w:r>
          </w:p>
        </w:tc>
      </w:tr>
      <w:tr w:rsidR="00464932" w:rsidRPr="001710D2" w:rsidTr="000631C0">
        <w:trPr>
          <w:trHeight w:val="2134"/>
        </w:trPr>
        <w:tc>
          <w:tcPr>
            <w:tcW w:w="1951" w:type="dxa"/>
            <w:vAlign w:val="center"/>
          </w:tcPr>
          <w:p w:rsidR="00E7625F" w:rsidRPr="00720ABD" w:rsidRDefault="00E7625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vAlign w:val="center"/>
          </w:tcPr>
          <w:p w:rsidR="00E7625F" w:rsidRPr="00720ABD" w:rsidRDefault="00435AD9" w:rsidP="000631C0">
            <w:pPr>
              <w:pStyle w:val="Default"/>
              <w:jc w:val="center"/>
              <w:rPr>
                <w:sz w:val="20"/>
                <w:szCs w:val="20"/>
              </w:rPr>
            </w:pPr>
            <w:r>
              <w:rPr>
                <w:sz w:val="20"/>
                <w:szCs w:val="20"/>
              </w:rPr>
              <w:t>2</w:t>
            </w:r>
          </w:p>
        </w:tc>
        <w:tc>
          <w:tcPr>
            <w:tcW w:w="2525" w:type="dxa"/>
            <w:vAlign w:val="center"/>
          </w:tcPr>
          <w:p w:rsidR="00E7625F" w:rsidRPr="00720ABD" w:rsidRDefault="00435AD9" w:rsidP="008827EE">
            <w:pPr>
              <w:pStyle w:val="Default"/>
              <w:jc w:val="center"/>
              <w:rPr>
                <w:sz w:val="20"/>
                <w:szCs w:val="20"/>
                <w:lang w:val="pt-BR"/>
              </w:rPr>
            </w:pPr>
            <w:r>
              <w:rPr>
                <w:sz w:val="20"/>
                <w:szCs w:val="20"/>
                <w:lang w:val="pt-BR"/>
              </w:rPr>
              <w:t>Agronômica e Coloninha</w:t>
            </w:r>
          </w:p>
        </w:tc>
      </w:tr>
      <w:tr w:rsidR="00464932" w:rsidRPr="008340C4" w:rsidTr="000631C0">
        <w:trPr>
          <w:trHeight w:val="2134"/>
        </w:trPr>
        <w:tc>
          <w:tcPr>
            <w:tcW w:w="1951" w:type="dxa"/>
            <w:vAlign w:val="center"/>
          </w:tcPr>
          <w:p w:rsidR="00E7625F" w:rsidRPr="00720ABD" w:rsidRDefault="0097381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vAlign w:val="center"/>
          </w:tcPr>
          <w:p w:rsidR="00E7625F" w:rsidRPr="00846D73" w:rsidRDefault="00E7625F" w:rsidP="000631C0">
            <w:pPr>
              <w:pStyle w:val="Default"/>
              <w:jc w:val="center"/>
              <w:rPr>
                <w:sz w:val="20"/>
                <w:szCs w:val="20"/>
                <w:lang w:val="pt-BR"/>
              </w:rPr>
            </w:pPr>
          </w:p>
        </w:tc>
        <w:tc>
          <w:tcPr>
            <w:tcW w:w="2525" w:type="dxa"/>
            <w:vAlign w:val="center"/>
          </w:tcPr>
          <w:p w:rsidR="00E7625F" w:rsidRPr="00846D73" w:rsidRDefault="00E7625F" w:rsidP="000631C0">
            <w:pPr>
              <w:pStyle w:val="Default"/>
              <w:jc w:val="center"/>
              <w:rPr>
                <w:sz w:val="20"/>
                <w:szCs w:val="20"/>
                <w:lang w:val="pt-BR"/>
              </w:rPr>
            </w:pPr>
          </w:p>
        </w:tc>
      </w:tr>
    </w:tbl>
    <w:p w:rsidR="00DB1185" w:rsidRDefault="00DB1185"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D71CD1" w:rsidRPr="00720ABD" w:rsidTr="000631C0">
        <w:trPr>
          <w:trHeight w:val="1036"/>
        </w:trPr>
        <w:tc>
          <w:tcPr>
            <w:tcW w:w="2686" w:type="dxa"/>
            <w:gridSpan w:val="2"/>
            <w:vAlign w:val="center"/>
          </w:tcPr>
          <w:p w:rsidR="00D71CD1" w:rsidRPr="00720ABD" w:rsidRDefault="00A8436A" w:rsidP="000631C0">
            <w:pPr>
              <w:pStyle w:val="Default"/>
              <w:jc w:val="center"/>
              <w:rPr>
                <w:sz w:val="20"/>
                <w:szCs w:val="20"/>
                <w:lang w:val="pt-BR"/>
              </w:rPr>
            </w:pPr>
            <w:r w:rsidRPr="00A8436A">
              <w:rPr>
                <w:noProof/>
                <w:sz w:val="22"/>
                <w:szCs w:val="22"/>
                <w:lang w:val="pt-BR" w:eastAsia="pt-BR" w:bidi="ar-SA"/>
              </w:rPr>
              <w:lastRenderedPageBreak/>
              <w:pict>
                <v:roundrect id="_x0000_s1053" style="position:absolute;left:0;text-align:left;margin-left:304.45pt;margin-top:-3pt;width:174.75pt;height:430.5pt;z-index:251675648;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3" inset="18pt,18pt,18pt,18pt">
                    <w:txbxContent>
                      <w:p w:rsidR="00A71D7C" w:rsidRPr="00D253D2" w:rsidRDefault="00A71D7C" w:rsidP="00D253D2">
                        <w:pPr>
                          <w:spacing w:before="100" w:beforeAutospacing="1" w:after="100" w:afterAutospacing="1"/>
                          <w:jc w:val="both"/>
                          <w:rPr>
                            <w:rFonts w:ascii="Arial" w:eastAsia="Times New Roman" w:hAnsi="Arial" w:cs="Arial"/>
                            <w:sz w:val="18"/>
                            <w:szCs w:val="18"/>
                            <w:lang w:val="pt-BR" w:eastAsia="pt-BR" w:bidi="ar-SA"/>
                          </w:rPr>
                        </w:pPr>
                        <w:r w:rsidRPr="00D253D2">
                          <w:rPr>
                            <w:rFonts w:ascii="Arial" w:eastAsia="Times New Roman" w:hAnsi="Arial" w:cs="Arial"/>
                            <w:b/>
                            <w:bCs/>
                            <w:color w:val="333333"/>
                            <w:sz w:val="18"/>
                            <w:szCs w:val="18"/>
                            <w:lang w:val="pt-BR" w:eastAsia="pt-BR" w:bidi="ar-SA"/>
                          </w:rPr>
                          <w:t>*Fluoreto</w:t>
                        </w:r>
                        <w:r w:rsidRPr="00D253D2">
                          <w:rPr>
                            <w:rFonts w:ascii="Arial" w:eastAsia="Times New Roman" w:hAnsi="Arial" w:cs="Arial"/>
                            <w:color w:val="333333"/>
                            <w:sz w:val="18"/>
                            <w:szCs w:val="18"/>
                            <w:lang w:val="pt-BR" w:eastAsia="pt-BR" w:bidi="ar-SA"/>
                          </w:rPr>
                          <w:t xml:space="preserve"> – A cárie dentária é causada por ação bacteriana na superfície dental. </w:t>
                        </w:r>
                        <w:r w:rsidR="00D253D2" w:rsidRPr="00D253D2">
                          <w:rPr>
                            <w:rFonts w:ascii="Arial" w:hAnsi="Arial" w:cs="Arial"/>
                            <w:sz w:val="18"/>
                            <w:szCs w:val="18"/>
                            <w:lang w:val="pt-BR"/>
                          </w:rPr>
                          <w:t>Além da distribuição de dentifrícios fluoretados</w:t>
                        </w:r>
                        <w:r w:rsidR="00D253D2">
                          <w:rPr>
                            <w:rFonts w:ascii="Arial" w:hAnsi="Arial" w:cs="Arial"/>
                            <w:sz w:val="18"/>
                            <w:szCs w:val="18"/>
                            <w:lang w:val="pt-BR"/>
                          </w:rPr>
                          <w:t>, a</w:t>
                        </w:r>
                        <w:r w:rsidRPr="00D253D2">
                          <w:rPr>
                            <w:rFonts w:ascii="Arial" w:eastAsia="Times New Roman" w:hAnsi="Arial" w:cs="Arial"/>
                            <w:color w:val="333333"/>
                            <w:sz w:val="18"/>
                            <w:szCs w:val="18"/>
                            <w:lang w:val="pt-BR" w:eastAsia="pt-BR" w:bidi="ar-SA"/>
                          </w:rPr>
                          <w:t xml:space="preserve"> principal estratégia de saúde pública para prevenção de cáries é a fluoretação da água, que reduz a prevalência de cáries em até 60%</w:t>
                        </w:r>
                        <w:r w:rsidR="000631C0">
                          <w:rPr>
                            <w:rFonts w:ascii="Arial" w:eastAsia="Times New Roman" w:hAnsi="Arial" w:cs="Arial"/>
                            <w:color w:val="333333"/>
                            <w:sz w:val="18"/>
                            <w:szCs w:val="18"/>
                            <w:lang w:val="pt-BR" w:eastAsia="pt-BR" w:bidi="ar-SA"/>
                          </w:rPr>
                          <w:t>. No entanto a ingestão de flúor em excesso</w:t>
                        </w:r>
                        <w:r w:rsidRPr="00D253D2">
                          <w:rPr>
                            <w:rFonts w:ascii="Arial" w:eastAsia="Times New Roman" w:hAnsi="Arial" w:cs="Arial"/>
                            <w:color w:val="333333"/>
                            <w:sz w:val="18"/>
                            <w:szCs w:val="18"/>
                            <w:lang w:val="pt-BR" w:eastAsia="pt-BR" w:bidi="ar-SA"/>
                          </w:rPr>
                          <w:t xml:space="preserve"> pode ser prejudicial à saúde, podendo causar distúrbios. Esses problemas estão relacionados à dose, ao tempo de ingestão e à idade. O distúrbio mais comum é a fluorose, doença</w:t>
                        </w:r>
                        <w:r w:rsidR="00D253D2" w:rsidRPr="00D253D2">
                          <w:rPr>
                            <w:rFonts w:ascii="Arial" w:eastAsia="Times New Roman" w:hAnsi="Arial" w:cs="Arial"/>
                            <w:color w:val="333333"/>
                            <w:sz w:val="18"/>
                            <w:szCs w:val="18"/>
                            <w:lang w:val="pt-BR" w:eastAsia="pt-BR" w:bidi="ar-SA"/>
                          </w:rPr>
                          <w:t xml:space="preserve"> que é mais prejudicial às crianças</w:t>
                        </w:r>
                        <w:r w:rsidR="00D253D2">
                          <w:rPr>
                            <w:rFonts w:ascii="Arial" w:eastAsia="Times New Roman" w:hAnsi="Arial" w:cs="Arial"/>
                            <w:color w:val="333333"/>
                            <w:sz w:val="18"/>
                            <w:szCs w:val="18"/>
                            <w:lang w:val="pt-BR" w:eastAsia="pt-BR" w:bidi="ar-SA"/>
                          </w:rPr>
                          <w:t xml:space="preserve"> e</w:t>
                        </w:r>
                        <w:r w:rsidRPr="00D253D2">
                          <w:rPr>
                            <w:rFonts w:ascii="Arial" w:eastAsia="Times New Roman" w:hAnsi="Arial" w:cs="Arial"/>
                            <w:color w:val="333333"/>
                            <w:sz w:val="18"/>
                            <w:szCs w:val="18"/>
                            <w:lang w:val="pt-BR" w:eastAsia="pt-BR" w:bidi="ar-SA"/>
                          </w:rPr>
                          <w:t xml:space="preserve"> que pode acometer os dentes e os ossos em graus que variam de leve a incapacitante</w:t>
                        </w:r>
                        <w:r w:rsidRPr="00D253D2">
                          <w:rPr>
                            <w:rFonts w:ascii="Arial" w:eastAsia="Times New Roman" w:hAnsi="Arial" w:cs="Arial"/>
                            <w:color w:val="333333"/>
                            <w:sz w:val="18"/>
                            <w:szCs w:val="18"/>
                            <w:vertAlign w:val="superscript"/>
                            <w:lang w:val="pt-BR" w:eastAsia="pt-BR" w:bidi="ar-SA"/>
                          </w:rPr>
                          <w:t>3</w:t>
                        </w:r>
                        <w:r w:rsidRPr="00D253D2">
                          <w:rPr>
                            <w:rFonts w:ascii="Arial" w:eastAsia="Times New Roman" w:hAnsi="Arial" w:cs="Arial"/>
                            <w:color w:val="333333"/>
                            <w:sz w:val="18"/>
                            <w:szCs w:val="18"/>
                            <w:lang w:val="pt-BR" w:eastAsia="pt-BR" w:bidi="ar-SA"/>
                          </w:rPr>
                          <w:t>. A Secretaria de Estado da Saúde de Santa Catarina, por meio da Portaria nº. 421/2016 e da Nota Técnica DIVS nº. 02/2017, estabeleceu como 0,8 mg/L a concentração ótima de fluoreto na água para consumo humano em nosso Estado, sendo o mínimo de 0,7 mg/L e o máximo de 1,0 mg/L.</w:t>
                        </w:r>
                      </w:p>
                      <w:p w:rsidR="00A71D7C" w:rsidRPr="00D253D2" w:rsidRDefault="00A71D7C" w:rsidP="00D253D2">
                        <w:pPr>
                          <w:jc w:val="both"/>
                          <w:rPr>
                            <w:rFonts w:ascii="Arial" w:eastAsia="Times New Roman" w:hAnsi="Arial" w:cs="Arial"/>
                            <w:sz w:val="18"/>
                            <w:szCs w:val="18"/>
                            <w:lang w:val="pt-BR" w:eastAsia="pt-BR" w:bidi="ar-SA"/>
                          </w:rPr>
                        </w:pPr>
                      </w:p>
                      <w:p w:rsidR="00C324A3" w:rsidRPr="00D253D2" w:rsidRDefault="00C324A3" w:rsidP="00D253D2">
                        <w:pPr>
                          <w:autoSpaceDE w:val="0"/>
                          <w:autoSpaceDN w:val="0"/>
                          <w:adjustRightInd w:val="0"/>
                          <w:jc w:val="both"/>
                          <w:rPr>
                            <w:rFonts w:ascii="Arial" w:hAnsi="Arial" w:cs="Arial"/>
                            <w:sz w:val="18"/>
                            <w:szCs w:val="18"/>
                            <w:lang w:val="pt-BR"/>
                          </w:rPr>
                        </w:pPr>
                      </w:p>
                      <w:p w:rsidR="00C324A3" w:rsidRPr="00D253D2" w:rsidRDefault="00C324A3" w:rsidP="00D253D2">
                        <w:pPr>
                          <w:pStyle w:val="Default"/>
                          <w:spacing w:line="276" w:lineRule="auto"/>
                          <w:ind w:firstLine="1134"/>
                          <w:jc w:val="both"/>
                          <w:rPr>
                            <w:color w:val="auto"/>
                            <w:sz w:val="18"/>
                            <w:szCs w:val="18"/>
                            <w:lang w:val="pt-BR"/>
                          </w:rPr>
                        </w:pPr>
                        <w:r w:rsidRPr="00D253D2">
                          <w:rPr>
                            <w:color w:val="auto"/>
                            <w:sz w:val="18"/>
                            <w:szCs w:val="18"/>
                            <w:lang w:val="pt-BR"/>
                          </w:rPr>
                          <w:t xml:space="preserve"> </w:t>
                        </w:r>
                      </w:p>
                    </w:txbxContent>
                  </v:textbox>
                  <w10:wrap type="square" anchorx="margin" anchory="margin"/>
                </v:roundrect>
              </w:pict>
            </w:r>
            <w:r w:rsidR="00D71CD1">
              <w:rPr>
                <w:sz w:val="20"/>
                <w:szCs w:val="20"/>
                <w:lang w:val="pt-BR"/>
              </w:rPr>
              <w:t>FLUORETO</w:t>
            </w:r>
            <w:r w:rsidR="00D71CD1" w:rsidRPr="00720ABD">
              <w:rPr>
                <w:sz w:val="20"/>
                <w:szCs w:val="20"/>
                <w:lang w:val="pt-BR"/>
              </w:rPr>
              <w:t xml:space="preserve"> EM DESACORDO COM A LEGISLAÇÃO*</w:t>
            </w:r>
          </w:p>
        </w:tc>
        <w:tc>
          <w:tcPr>
            <w:tcW w:w="2525" w:type="dxa"/>
            <w:vAlign w:val="center"/>
          </w:tcPr>
          <w:p w:rsidR="00D71CD1" w:rsidRPr="00720ABD" w:rsidRDefault="00D71CD1" w:rsidP="000631C0">
            <w:pPr>
              <w:pStyle w:val="Default"/>
              <w:jc w:val="center"/>
              <w:rPr>
                <w:sz w:val="20"/>
                <w:szCs w:val="20"/>
              </w:rPr>
            </w:pPr>
            <w:r w:rsidRPr="00720ABD">
              <w:rPr>
                <w:sz w:val="20"/>
                <w:szCs w:val="20"/>
              </w:rPr>
              <w:t>LOCAL DE OCORRÊNCIA</w:t>
            </w:r>
          </w:p>
        </w:tc>
      </w:tr>
      <w:tr w:rsidR="00D71CD1" w:rsidRPr="001710D2" w:rsidTr="000631C0">
        <w:trPr>
          <w:trHeight w:val="2134"/>
        </w:trPr>
        <w:tc>
          <w:tcPr>
            <w:tcW w:w="1951" w:type="dxa"/>
            <w:vAlign w:val="center"/>
          </w:tcPr>
          <w:p w:rsidR="00D71CD1" w:rsidRPr="00720ABD" w:rsidRDefault="00D71CD1" w:rsidP="000631C0">
            <w:pPr>
              <w:pStyle w:val="Default"/>
              <w:jc w:val="center"/>
              <w:rPr>
                <w:sz w:val="20"/>
                <w:szCs w:val="20"/>
                <w:lang w:val="pt-BR"/>
              </w:rPr>
            </w:pPr>
            <w:r w:rsidRPr="00720ABD">
              <w:rPr>
                <w:sz w:val="20"/>
                <w:szCs w:val="20"/>
                <w:lang w:val="pt-BR"/>
              </w:rPr>
              <w:t xml:space="preserve">Número de amostras </w:t>
            </w:r>
            <w:r w:rsidR="00A322C5">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A322C5">
              <w:rPr>
                <w:b/>
                <w:sz w:val="20"/>
                <w:szCs w:val="20"/>
                <w:lang w:val="pt-BR"/>
              </w:rPr>
              <w:t xml:space="preserve">acima do máximo permitido </w:t>
            </w:r>
            <w:r w:rsidRPr="00EA2264">
              <w:rPr>
                <w:sz w:val="20"/>
                <w:szCs w:val="20"/>
                <w:lang w:val="pt-BR"/>
              </w:rPr>
              <w:t>(sistema CASAN)</w:t>
            </w:r>
          </w:p>
        </w:tc>
        <w:tc>
          <w:tcPr>
            <w:tcW w:w="735" w:type="dxa"/>
            <w:vAlign w:val="center"/>
          </w:tcPr>
          <w:p w:rsidR="00D71CD1" w:rsidRPr="00D253D2" w:rsidRDefault="00D71CD1" w:rsidP="000631C0">
            <w:pPr>
              <w:pStyle w:val="Default"/>
              <w:jc w:val="center"/>
              <w:rPr>
                <w:sz w:val="20"/>
                <w:szCs w:val="20"/>
                <w:lang w:val="pt-BR"/>
              </w:rPr>
            </w:pPr>
          </w:p>
        </w:tc>
        <w:tc>
          <w:tcPr>
            <w:tcW w:w="2525" w:type="dxa"/>
            <w:vAlign w:val="center"/>
          </w:tcPr>
          <w:p w:rsidR="00D71CD1" w:rsidRPr="00720ABD" w:rsidRDefault="00782B26" w:rsidP="000631C0">
            <w:pPr>
              <w:pStyle w:val="Default"/>
              <w:jc w:val="center"/>
              <w:rPr>
                <w:sz w:val="20"/>
                <w:szCs w:val="20"/>
                <w:lang w:val="pt-BR"/>
              </w:rPr>
            </w:pPr>
            <w:r>
              <w:rPr>
                <w:sz w:val="20"/>
                <w:szCs w:val="20"/>
                <w:lang w:val="pt-BR"/>
              </w:rPr>
              <w:t>Análises não realizadas pelo LACEN por falta de insumo</w:t>
            </w:r>
          </w:p>
        </w:tc>
      </w:tr>
      <w:tr w:rsidR="00D71CD1" w:rsidRPr="001710D2" w:rsidTr="000631C0">
        <w:trPr>
          <w:trHeight w:val="2134"/>
        </w:trPr>
        <w:tc>
          <w:tcPr>
            <w:tcW w:w="1951" w:type="dxa"/>
            <w:vAlign w:val="center"/>
          </w:tcPr>
          <w:p w:rsidR="00D71CD1" w:rsidRPr="00720ABD" w:rsidRDefault="00A322C5" w:rsidP="0094676E">
            <w:pPr>
              <w:pStyle w:val="Default"/>
              <w:jc w:val="center"/>
              <w:rPr>
                <w:sz w:val="20"/>
                <w:szCs w:val="20"/>
                <w:lang w:val="pt-BR"/>
              </w:rPr>
            </w:pPr>
            <w:r w:rsidRPr="00720ABD">
              <w:rPr>
                <w:sz w:val="20"/>
                <w:szCs w:val="20"/>
                <w:lang w:val="pt-BR"/>
              </w:rPr>
              <w:t xml:space="preserve">Número de amostras </w:t>
            </w:r>
            <w:r>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B029A2">
              <w:rPr>
                <w:b/>
                <w:sz w:val="20"/>
                <w:szCs w:val="20"/>
                <w:lang w:val="pt-BR"/>
              </w:rPr>
              <w:t xml:space="preserve">abaixo do mínimo </w:t>
            </w:r>
            <w:r w:rsidR="0094676E">
              <w:rPr>
                <w:b/>
                <w:sz w:val="20"/>
                <w:szCs w:val="20"/>
                <w:lang w:val="pt-BR"/>
              </w:rPr>
              <w:t>permitido</w:t>
            </w:r>
            <w:r>
              <w:rPr>
                <w:b/>
                <w:sz w:val="20"/>
                <w:szCs w:val="20"/>
                <w:lang w:val="pt-BR"/>
              </w:rPr>
              <w:t xml:space="preserve"> </w:t>
            </w:r>
            <w:r w:rsidRPr="00EA2264">
              <w:rPr>
                <w:sz w:val="20"/>
                <w:szCs w:val="20"/>
                <w:lang w:val="pt-BR"/>
              </w:rPr>
              <w:t>(</w:t>
            </w:r>
            <w:r w:rsidR="00B029A2">
              <w:rPr>
                <w:sz w:val="20"/>
                <w:szCs w:val="20"/>
                <w:lang w:val="pt-BR"/>
              </w:rPr>
              <w:t>sistema CASAN</w:t>
            </w:r>
            <w:r w:rsidRPr="00EA2264">
              <w:rPr>
                <w:sz w:val="20"/>
                <w:szCs w:val="20"/>
                <w:lang w:val="pt-BR"/>
              </w:rPr>
              <w:t>)</w:t>
            </w:r>
          </w:p>
        </w:tc>
        <w:tc>
          <w:tcPr>
            <w:tcW w:w="735" w:type="dxa"/>
            <w:vAlign w:val="center"/>
          </w:tcPr>
          <w:p w:rsidR="00D71CD1" w:rsidRPr="00846D73" w:rsidRDefault="00D71CD1" w:rsidP="000631C0">
            <w:pPr>
              <w:pStyle w:val="Default"/>
              <w:jc w:val="center"/>
              <w:rPr>
                <w:sz w:val="20"/>
                <w:szCs w:val="20"/>
                <w:lang w:val="pt-BR"/>
              </w:rPr>
            </w:pPr>
          </w:p>
        </w:tc>
        <w:tc>
          <w:tcPr>
            <w:tcW w:w="2525" w:type="dxa"/>
            <w:vAlign w:val="center"/>
          </w:tcPr>
          <w:p w:rsidR="00D71CD1" w:rsidRPr="00846D73" w:rsidRDefault="00782B26" w:rsidP="008827EE">
            <w:pPr>
              <w:pStyle w:val="Default"/>
              <w:jc w:val="center"/>
              <w:rPr>
                <w:sz w:val="20"/>
                <w:szCs w:val="20"/>
                <w:lang w:val="pt-BR"/>
              </w:rPr>
            </w:pPr>
            <w:r>
              <w:rPr>
                <w:sz w:val="20"/>
                <w:szCs w:val="20"/>
                <w:lang w:val="pt-BR"/>
              </w:rPr>
              <w:t>Análises não realizadas pelo LACEN por falta de insumo</w:t>
            </w:r>
          </w:p>
        </w:tc>
      </w:tr>
    </w:tbl>
    <w:p w:rsidR="00C324A3" w:rsidRDefault="00C324A3"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72763F" w:rsidRPr="00B1063D">
          <w:rPr>
            <w:rStyle w:val="Hyperlink"/>
            <w:sz w:val="20"/>
            <w:szCs w:val="20"/>
            <w:lang w:val="pt-BR"/>
          </w:rPr>
          <w:t>http://www.samaepapanduva.sc.gov.br/Servicos/entenda_analise.php</w:t>
        </w:r>
      </w:hyperlink>
    </w:p>
    <w:p w:rsidR="009B775C" w:rsidRPr="00D253D2" w:rsidRDefault="009B775C" w:rsidP="009B775C">
      <w:pPr>
        <w:pStyle w:val="Default"/>
        <w:spacing w:line="360" w:lineRule="auto"/>
        <w:jc w:val="both"/>
        <w:rPr>
          <w:color w:val="auto"/>
          <w:sz w:val="20"/>
          <w:szCs w:val="20"/>
          <w:lang w:val="pt-BR"/>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D253D2">
        <w:rPr>
          <w:color w:val="auto"/>
          <w:sz w:val="20"/>
          <w:szCs w:val="20"/>
          <w:lang w:val="pt-BR"/>
        </w:rPr>
        <w:t>212 p. – (Série B. Textos Básicos de Saúde).</w:t>
      </w:r>
    </w:p>
    <w:p w:rsidR="0076243F" w:rsidRPr="0076243F" w:rsidRDefault="0076243F" w:rsidP="009B775C">
      <w:pPr>
        <w:pStyle w:val="Default"/>
        <w:spacing w:line="360" w:lineRule="auto"/>
        <w:jc w:val="both"/>
        <w:rPr>
          <w:color w:val="auto"/>
          <w:sz w:val="20"/>
          <w:szCs w:val="20"/>
          <w:lang w:val="pt-BR"/>
        </w:rPr>
      </w:pPr>
      <w:r w:rsidRPr="0076243F">
        <w:rPr>
          <w:color w:val="auto"/>
          <w:sz w:val="20"/>
          <w:szCs w:val="20"/>
          <w:vertAlign w:val="superscript"/>
          <w:lang w:val="pt-BR"/>
        </w:rPr>
        <w:t xml:space="preserve">3 </w:t>
      </w:r>
      <w:r w:rsidRPr="0076243F">
        <w:rPr>
          <w:color w:val="auto"/>
          <w:sz w:val="20"/>
          <w:szCs w:val="20"/>
          <w:lang w:val="pt-BR"/>
        </w:rPr>
        <w:t>Brasil. Ministério da Saúde. Secretaria de Vigil</w:t>
      </w:r>
      <w:r w:rsidR="00FB1AE9">
        <w:rPr>
          <w:color w:val="auto"/>
          <w:sz w:val="20"/>
          <w:szCs w:val="20"/>
          <w:lang w:val="pt-BR"/>
        </w:rPr>
        <w:t>â</w:t>
      </w:r>
      <w:r>
        <w:rPr>
          <w:color w:val="auto"/>
          <w:sz w:val="20"/>
          <w:szCs w:val="20"/>
          <w:lang w:val="pt-BR"/>
        </w:rPr>
        <w:t xml:space="preserve">ncia em Saúde. </w:t>
      </w:r>
      <w:r w:rsidR="00FB1AE9">
        <w:rPr>
          <w:color w:val="auto"/>
          <w:sz w:val="20"/>
          <w:szCs w:val="20"/>
          <w:lang w:val="pt-BR"/>
        </w:rPr>
        <w:t>Monitoramento do parâmetro fluoreto na água para consumo humano e a situação de fluorose e cárie nas capitais brasileiras no ano de 2010.</w:t>
      </w:r>
      <w:r w:rsidR="00FB1AE9" w:rsidRPr="00FB1AE9">
        <w:rPr>
          <w:color w:val="auto"/>
          <w:sz w:val="20"/>
          <w:szCs w:val="20"/>
          <w:lang w:val="pt-BR"/>
        </w:rPr>
        <w:t xml:space="preserve"> </w:t>
      </w:r>
      <w:r w:rsidR="00FB1AE9" w:rsidRPr="00FB1AE9">
        <w:rPr>
          <w:b/>
          <w:color w:val="auto"/>
          <w:sz w:val="20"/>
          <w:szCs w:val="20"/>
          <w:lang w:val="pt-BR"/>
        </w:rPr>
        <w:t>Boletim Epidemiológico.</w:t>
      </w:r>
      <w:r w:rsidR="00FB1AE9">
        <w:rPr>
          <w:color w:val="auto"/>
          <w:sz w:val="20"/>
          <w:szCs w:val="20"/>
          <w:lang w:val="pt-BR"/>
        </w:rPr>
        <w:t xml:space="preserve">  Vol. 46; nº40. 2015.</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CC" w:rsidRDefault="004E4DCC" w:rsidP="005437A8">
      <w:pPr>
        <w:spacing w:after="0" w:line="240" w:lineRule="auto"/>
      </w:pPr>
      <w:r>
        <w:separator/>
      </w:r>
    </w:p>
  </w:endnote>
  <w:endnote w:type="continuationSeparator" w:id="0">
    <w:p w:rsidR="004E4DCC" w:rsidRDefault="004E4DCC"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A8436A"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A8436A">
                        <w:pPr>
                          <w:pStyle w:val="Rodap"/>
                          <w:jc w:val="center"/>
                          <w:rPr>
                            <w:b/>
                            <w:color w:val="FFFFFF" w:themeColor="background1"/>
                            <w:sz w:val="32"/>
                            <w:szCs w:val="32"/>
                          </w:rPr>
                        </w:pPr>
                        <w:fldSimple w:instr=" PAGE    \* MERGEFORMAT ">
                          <w:r w:rsidR="00435AD9" w:rsidRPr="00435AD9">
                            <w:rPr>
                              <w:b/>
                              <w:noProof/>
                              <w:color w:val="FFFFFF" w:themeColor="background1"/>
                              <w:sz w:val="32"/>
                              <w:szCs w:val="32"/>
                            </w:rPr>
                            <w:t>4</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A8436A">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CC" w:rsidRDefault="004E4DCC" w:rsidP="005437A8">
      <w:pPr>
        <w:spacing w:after="0" w:line="240" w:lineRule="auto"/>
      </w:pPr>
      <w:r>
        <w:separator/>
      </w:r>
    </w:p>
  </w:footnote>
  <w:footnote w:type="continuationSeparator" w:id="0">
    <w:p w:rsidR="004E4DCC" w:rsidRDefault="004E4DCC"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A8436A">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9634"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06BFB"/>
    <w:rsid w:val="00016FC9"/>
    <w:rsid w:val="00036C12"/>
    <w:rsid w:val="00046D34"/>
    <w:rsid w:val="000631C0"/>
    <w:rsid w:val="00066259"/>
    <w:rsid w:val="00073113"/>
    <w:rsid w:val="00076599"/>
    <w:rsid w:val="00094DCB"/>
    <w:rsid w:val="000A4EB6"/>
    <w:rsid w:val="000B49C3"/>
    <w:rsid w:val="000C57D2"/>
    <w:rsid w:val="000D14D0"/>
    <w:rsid w:val="000D23A2"/>
    <w:rsid w:val="000E3011"/>
    <w:rsid w:val="000E4A3C"/>
    <w:rsid w:val="000E62CF"/>
    <w:rsid w:val="000E6A60"/>
    <w:rsid w:val="000E7F3D"/>
    <w:rsid w:val="000F73E9"/>
    <w:rsid w:val="00114340"/>
    <w:rsid w:val="0012663B"/>
    <w:rsid w:val="00142342"/>
    <w:rsid w:val="00142F3A"/>
    <w:rsid w:val="001476EF"/>
    <w:rsid w:val="00151450"/>
    <w:rsid w:val="00154956"/>
    <w:rsid w:val="001566A2"/>
    <w:rsid w:val="001612A7"/>
    <w:rsid w:val="0016231B"/>
    <w:rsid w:val="00163AAA"/>
    <w:rsid w:val="001654BC"/>
    <w:rsid w:val="001710D2"/>
    <w:rsid w:val="001824F0"/>
    <w:rsid w:val="001927CA"/>
    <w:rsid w:val="0019360F"/>
    <w:rsid w:val="001940AE"/>
    <w:rsid w:val="00195237"/>
    <w:rsid w:val="00195B7D"/>
    <w:rsid w:val="001A50B6"/>
    <w:rsid w:val="001A50DA"/>
    <w:rsid w:val="001A5DFE"/>
    <w:rsid w:val="001C30AF"/>
    <w:rsid w:val="001C4512"/>
    <w:rsid w:val="001C4A41"/>
    <w:rsid w:val="001C65E4"/>
    <w:rsid w:val="001D40D5"/>
    <w:rsid w:val="001E19D2"/>
    <w:rsid w:val="001F40D4"/>
    <w:rsid w:val="001F4CE6"/>
    <w:rsid w:val="0021127E"/>
    <w:rsid w:val="002120FD"/>
    <w:rsid w:val="0021240B"/>
    <w:rsid w:val="00213898"/>
    <w:rsid w:val="00217DA4"/>
    <w:rsid w:val="00251C2E"/>
    <w:rsid w:val="00262BBE"/>
    <w:rsid w:val="002700AE"/>
    <w:rsid w:val="00272455"/>
    <w:rsid w:val="00277A9B"/>
    <w:rsid w:val="002A33D9"/>
    <w:rsid w:val="002B2C42"/>
    <w:rsid w:val="002B34E9"/>
    <w:rsid w:val="002B53C4"/>
    <w:rsid w:val="002C37F8"/>
    <w:rsid w:val="002C66DA"/>
    <w:rsid w:val="002D5C10"/>
    <w:rsid w:val="002E183B"/>
    <w:rsid w:val="002E7F9F"/>
    <w:rsid w:val="00300EE5"/>
    <w:rsid w:val="003013ED"/>
    <w:rsid w:val="00303626"/>
    <w:rsid w:val="0030688B"/>
    <w:rsid w:val="00306B9D"/>
    <w:rsid w:val="00311E94"/>
    <w:rsid w:val="00320623"/>
    <w:rsid w:val="0032080D"/>
    <w:rsid w:val="0033603B"/>
    <w:rsid w:val="00347CC3"/>
    <w:rsid w:val="00351713"/>
    <w:rsid w:val="00375429"/>
    <w:rsid w:val="003805F4"/>
    <w:rsid w:val="00381446"/>
    <w:rsid w:val="003A1020"/>
    <w:rsid w:val="003A1029"/>
    <w:rsid w:val="003A3403"/>
    <w:rsid w:val="003B4CAE"/>
    <w:rsid w:val="003C5126"/>
    <w:rsid w:val="003C6658"/>
    <w:rsid w:val="003C6FB8"/>
    <w:rsid w:val="003E3A1E"/>
    <w:rsid w:val="003E5191"/>
    <w:rsid w:val="003E7E65"/>
    <w:rsid w:val="00412476"/>
    <w:rsid w:val="00414327"/>
    <w:rsid w:val="0041540B"/>
    <w:rsid w:val="00435AD9"/>
    <w:rsid w:val="0046246A"/>
    <w:rsid w:val="00464932"/>
    <w:rsid w:val="00466A34"/>
    <w:rsid w:val="00475649"/>
    <w:rsid w:val="00483A5E"/>
    <w:rsid w:val="00486B77"/>
    <w:rsid w:val="004951C6"/>
    <w:rsid w:val="004A0702"/>
    <w:rsid w:val="004C33D5"/>
    <w:rsid w:val="004D05F2"/>
    <w:rsid w:val="004E4D19"/>
    <w:rsid w:val="004E4DCC"/>
    <w:rsid w:val="004E6060"/>
    <w:rsid w:val="00512D27"/>
    <w:rsid w:val="00527A2D"/>
    <w:rsid w:val="00541A4F"/>
    <w:rsid w:val="005437A8"/>
    <w:rsid w:val="005460B5"/>
    <w:rsid w:val="00550B41"/>
    <w:rsid w:val="00551110"/>
    <w:rsid w:val="0055576B"/>
    <w:rsid w:val="00560C42"/>
    <w:rsid w:val="0056542E"/>
    <w:rsid w:val="00576FE5"/>
    <w:rsid w:val="00592BF2"/>
    <w:rsid w:val="005A16A3"/>
    <w:rsid w:val="005A1D47"/>
    <w:rsid w:val="005B21B4"/>
    <w:rsid w:val="005B7657"/>
    <w:rsid w:val="005C22F6"/>
    <w:rsid w:val="005C7771"/>
    <w:rsid w:val="005D0994"/>
    <w:rsid w:val="005D5298"/>
    <w:rsid w:val="005E2CA2"/>
    <w:rsid w:val="005E715F"/>
    <w:rsid w:val="006003F1"/>
    <w:rsid w:val="00600417"/>
    <w:rsid w:val="00601CA4"/>
    <w:rsid w:val="0060720A"/>
    <w:rsid w:val="00610CDF"/>
    <w:rsid w:val="00620CE6"/>
    <w:rsid w:val="00631363"/>
    <w:rsid w:val="0064059D"/>
    <w:rsid w:val="00650AD0"/>
    <w:rsid w:val="0065557D"/>
    <w:rsid w:val="00661434"/>
    <w:rsid w:val="006A2962"/>
    <w:rsid w:val="006B0550"/>
    <w:rsid w:val="006C0B93"/>
    <w:rsid w:val="006C3EDF"/>
    <w:rsid w:val="006D2432"/>
    <w:rsid w:val="006E5478"/>
    <w:rsid w:val="006F15AE"/>
    <w:rsid w:val="006F62B7"/>
    <w:rsid w:val="00713A64"/>
    <w:rsid w:val="007200E0"/>
    <w:rsid w:val="00720ABD"/>
    <w:rsid w:val="0072381D"/>
    <w:rsid w:val="00724D98"/>
    <w:rsid w:val="00725662"/>
    <w:rsid w:val="007257EB"/>
    <w:rsid w:val="00726958"/>
    <w:rsid w:val="0072763F"/>
    <w:rsid w:val="0073245C"/>
    <w:rsid w:val="0074198F"/>
    <w:rsid w:val="007454D9"/>
    <w:rsid w:val="007506D2"/>
    <w:rsid w:val="0076243F"/>
    <w:rsid w:val="007674CB"/>
    <w:rsid w:val="00782B26"/>
    <w:rsid w:val="007845E4"/>
    <w:rsid w:val="00787060"/>
    <w:rsid w:val="007A0529"/>
    <w:rsid w:val="007B530A"/>
    <w:rsid w:val="007B5F0D"/>
    <w:rsid w:val="007C18BC"/>
    <w:rsid w:val="007E214C"/>
    <w:rsid w:val="007E4554"/>
    <w:rsid w:val="007F3AD4"/>
    <w:rsid w:val="007F4BD1"/>
    <w:rsid w:val="00800D94"/>
    <w:rsid w:val="0080206C"/>
    <w:rsid w:val="00814A81"/>
    <w:rsid w:val="00817FDB"/>
    <w:rsid w:val="008340C4"/>
    <w:rsid w:val="00846D73"/>
    <w:rsid w:val="00852160"/>
    <w:rsid w:val="00855D30"/>
    <w:rsid w:val="00855D99"/>
    <w:rsid w:val="00855F23"/>
    <w:rsid w:val="00870A74"/>
    <w:rsid w:val="0087368F"/>
    <w:rsid w:val="008764A6"/>
    <w:rsid w:val="0088106B"/>
    <w:rsid w:val="00881F24"/>
    <w:rsid w:val="0088248D"/>
    <w:rsid w:val="008827EE"/>
    <w:rsid w:val="008A05CE"/>
    <w:rsid w:val="008A273B"/>
    <w:rsid w:val="008A295F"/>
    <w:rsid w:val="008A7C19"/>
    <w:rsid w:val="008B205A"/>
    <w:rsid w:val="008C55E6"/>
    <w:rsid w:val="008E09C9"/>
    <w:rsid w:val="008E3C66"/>
    <w:rsid w:val="008F0B53"/>
    <w:rsid w:val="00925810"/>
    <w:rsid w:val="00925A5E"/>
    <w:rsid w:val="0092666C"/>
    <w:rsid w:val="00937C1D"/>
    <w:rsid w:val="00940A38"/>
    <w:rsid w:val="0094676E"/>
    <w:rsid w:val="00961966"/>
    <w:rsid w:val="00972B55"/>
    <w:rsid w:val="0097381F"/>
    <w:rsid w:val="00974492"/>
    <w:rsid w:val="009831CA"/>
    <w:rsid w:val="0099259E"/>
    <w:rsid w:val="009A32D5"/>
    <w:rsid w:val="009B5158"/>
    <w:rsid w:val="009B775C"/>
    <w:rsid w:val="009C4C41"/>
    <w:rsid w:val="009D261A"/>
    <w:rsid w:val="009E0CAD"/>
    <w:rsid w:val="009E1B29"/>
    <w:rsid w:val="009E439D"/>
    <w:rsid w:val="00A04ED8"/>
    <w:rsid w:val="00A07CC7"/>
    <w:rsid w:val="00A31D7B"/>
    <w:rsid w:val="00A322C5"/>
    <w:rsid w:val="00A32926"/>
    <w:rsid w:val="00A50894"/>
    <w:rsid w:val="00A51DAD"/>
    <w:rsid w:val="00A54770"/>
    <w:rsid w:val="00A6618F"/>
    <w:rsid w:val="00A6716C"/>
    <w:rsid w:val="00A71D7C"/>
    <w:rsid w:val="00A72D61"/>
    <w:rsid w:val="00A8436A"/>
    <w:rsid w:val="00AC51DC"/>
    <w:rsid w:val="00AC581A"/>
    <w:rsid w:val="00AF2FEB"/>
    <w:rsid w:val="00AF5422"/>
    <w:rsid w:val="00AF6620"/>
    <w:rsid w:val="00B004DD"/>
    <w:rsid w:val="00B029A2"/>
    <w:rsid w:val="00B11018"/>
    <w:rsid w:val="00B1315C"/>
    <w:rsid w:val="00B24124"/>
    <w:rsid w:val="00B42CA4"/>
    <w:rsid w:val="00B52463"/>
    <w:rsid w:val="00B763B7"/>
    <w:rsid w:val="00BA375A"/>
    <w:rsid w:val="00BA3E15"/>
    <w:rsid w:val="00BB0AF6"/>
    <w:rsid w:val="00BD08C0"/>
    <w:rsid w:val="00BE0D89"/>
    <w:rsid w:val="00BE2E17"/>
    <w:rsid w:val="00C00C8D"/>
    <w:rsid w:val="00C02035"/>
    <w:rsid w:val="00C02D15"/>
    <w:rsid w:val="00C03B97"/>
    <w:rsid w:val="00C15B5B"/>
    <w:rsid w:val="00C17149"/>
    <w:rsid w:val="00C21C89"/>
    <w:rsid w:val="00C21D9E"/>
    <w:rsid w:val="00C22B1C"/>
    <w:rsid w:val="00C269C8"/>
    <w:rsid w:val="00C30C78"/>
    <w:rsid w:val="00C324A3"/>
    <w:rsid w:val="00C3438B"/>
    <w:rsid w:val="00C53B43"/>
    <w:rsid w:val="00C54A80"/>
    <w:rsid w:val="00C54BA4"/>
    <w:rsid w:val="00C70870"/>
    <w:rsid w:val="00C71FE9"/>
    <w:rsid w:val="00C7424A"/>
    <w:rsid w:val="00C93E3B"/>
    <w:rsid w:val="00CA1A93"/>
    <w:rsid w:val="00CA6FF0"/>
    <w:rsid w:val="00CB5311"/>
    <w:rsid w:val="00CB5EA6"/>
    <w:rsid w:val="00CE2C7A"/>
    <w:rsid w:val="00D11B2D"/>
    <w:rsid w:val="00D24C14"/>
    <w:rsid w:val="00D253D2"/>
    <w:rsid w:val="00D360B0"/>
    <w:rsid w:val="00D4189F"/>
    <w:rsid w:val="00D43743"/>
    <w:rsid w:val="00D5513F"/>
    <w:rsid w:val="00D55907"/>
    <w:rsid w:val="00D563A9"/>
    <w:rsid w:val="00D57AFB"/>
    <w:rsid w:val="00D634ED"/>
    <w:rsid w:val="00D66CA6"/>
    <w:rsid w:val="00D71CD1"/>
    <w:rsid w:val="00D90E64"/>
    <w:rsid w:val="00D95E3E"/>
    <w:rsid w:val="00DA3044"/>
    <w:rsid w:val="00DA5620"/>
    <w:rsid w:val="00DA6AA9"/>
    <w:rsid w:val="00DB1185"/>
    <w:rsid w:val="00DC28B6"/>
    <w:rsid w:val="00DD70FE"/>
    <w:rsid w:val="00DE04B8"/>
    <w:rsid w:val="00E06F0B"/>
    <w:rsid w:val="00E074FF"/>
    <w:rsid w:val="00E122BC"/>
    <w:rsid w:val="00E129FD"/>
    <w:rsid w:val="00E15AA4"/>
    <w:rsid w:val="00E54EC3"/>
    <w:rsid w:val="00E72F8B"/>
    <w:rsid w:val="00E7625F"/>
    <w:rsid w:val="00E82020"/>
    <w:rsid w:val="00E849E2"/>
    <w:rsid w:val="00E965A6"/>
    <w:rsid w:val="00EA2264"/>
    <w:rsid w:val="00EA2CBA"/>
    <w:rsid w:val="00EB5F95"/>
    <w:rsid w:val="00ED0FCC"/>
    <w:rsid w:val="00ED46F1"/>
    <w:rsid w:val="00EE56DA"/>
    <w:rsid w:val="00EF10DD"/>
    <w:rsid w:val="00EF51F2"/>
    <w:rsid w:val="00EF70D6"/>
    <w:rsid w:val="00F22C03"/>
    <w:rsid w:val="00F25147"/>
    <w:rsid w:val="00F27573"/>
    <w:rsid w:val="00F33C0B"/>
    <w:rsid w:val="00F34227"/>
    <w:rsid w:val="00F447B5"/>
    <w:rsid w:val="00F56F90"/>
    <w:rsid w:val="00F741A7"/>
    <w:rsid w:val="00F96D8A"/>
    <w:rsid w:val="00FA6A22"/>
    <w:rsid w:val="00FB1AE9"/>
    <w:rsid w:val="00FB4C3E"/>
    <w:rsid w:val="00FC126A"/>
    <w:rsid w:val="00FD03C4"/>
    <w:rsid w:val="00FD3AEE"/>
    <w:rsid w:val="00FD6B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4"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1151017594">
      <w:bodyDiv w:val="1"/>
      <w:marLeft w:val="0"/>
      <w:marRight w:val="0"/>
      <w:marTop w:val="0"/>
      <w:marBottom w:val="0"/>
      <w:divBdr>
        <w:top w:val="none" w:sz="0" w:space="0" w:color="auto"/>
        <w:left w:val="none" w:sz="0" w:space="0" w:color="auto"/>
        <w:bottom w:val="none" w:sz="0" w:space="0" w:color="auto"/>
        <w:right w:val="none" w:sz="0" w:space="0" w:color="auto"/>
      </w:divBdr>
      <w:divsChild>
        <w:div w:id="686101714">
          <w:marLeft w:val="0"/>
          <w:marRight w:val="0"/>
          <w:marTop w:val="0"/>
          <w:marBottom w:val="0"/>
          <w:divBdr>
            <w:top w:val="none" w:sz="0" w:space="0" w:color="auto"/>
            <w:left w:val="none" w:sz="0" w:space="0" w:color="auto"/>
            <w:bottom w:val="none" w:sz="0" w:space="0" w:color="auto"/>
            <w:right w:val="none" w:sz="0" w:space="0" w:color="auto"/>
          </w:divBdr>
          <w:divsChild>
            <w:div w:id="1257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7B77DB-578B-4BC5-8B9B-CD3C6BDF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707</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Outubro de 2017</dc:subject>
  <dc:creator>SMS - PMF</dc:creator>
  <cp:lastModifiedBy>cristiane.snoeijer</cp:lastModifiedBy>
  <cp:revision>4</cp:revision>
  <cp:lastPrinted>2016-07-08T11:29:00Z</cp:lastPrinted>
  <dcterms:created xsi:type="dcterms:W3CDTF">2017-11-16T20:42:00Z</dcterms:created>
  <dcterms:modified xsi:type="dcterms:W3CDTF">2017-11-17T17:41:00Z</dcterms:modified>
</cp:coreProperties>
</file>