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726958">
          <w:pPr>
            <w:pStyle w:val="SemEspaamento"/>
            <w:rPr>
              <w:rFonts w:asciiTheme="majorHAnsi" w:eastAsiaTheme="majorEastAsia" w:hAnsiTheme="majorHAnsi" w:cstheme="majorBidi"/>
              <w:sz w:val="72"/>
              <w:szCs w:val="72"/>
            </w:rPr>
          </w:pPr>
          <w:r w:rsidRPr="00726958">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726958">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726958">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726958">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551110">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Jul</w:t>
              </w:r>
              <w:r w:rsidR="007257EB">
                <w:rPr>
                  <w:rFonts w:asciiTheme="majorHAnsi" w:eastAsiaTheme="majorEastAsia" w:hAnsiTheme="majorHAnsi" w:cstheme="majorBidi"/>
                  <w:sz w:val="36"/>
                  <w:szCs w:val="36"/>
                  <w:u w:val="single"/>
                  <w:lang w:val="pt-BR"/>
                </w:rPr>
                <w:t>ho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551110">
          <w:pPr>
            <w:pStyle w:val="SemEspaamento"/>
            <w:rPr>
              <w:lang w:val="pt-BR"/>
            </w:rPr>
          </w:pPr>
          <w:r>
            <w:rPr>
              <w:rFonts w:asciiTheme="majorHAnsi" w:eastAsiaTheme="majorEastAsia" w:hAnsiTheme="majorHAnsi" w:cstheme="majorBidi"/>
              <w:lang w:val="pt-BR"/>
            </w:rPr>
            <w:t>25/08</w:t>
          </w:r>
          <w:r w:rsidR="00FA6A22">
            <w:rPr>
              <w:rFonts w:asciiTheme="majorHAnsi" w:eastAsiaTheme="majorEastAsia" w:hAnsiTheme="majorHAnsi" w:cstheme="majorBidi"/>
              <w:lang w:val="pt-BR"/>
            </w:rPr>
            <w:t>/2017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w:t>
      </w:r>
      <w:r w:rsidRPr="002B53C4">
        <w:rPr>
          <w:rFonts w:eastAsia="Minion-Regular"/>
          <w:color w:val="2E2B2F"/>
          <w:sz w:val="22"/>
          <w:szCs w:val="22"/>
          <w:lang w:val="pt-BR"/>
        </w:rPr>
        <w:t xml:space="preserve">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551110">
        <w:rPr>
          <w:rFonts w:ascii="Arial" w:hAnsi="Arial" w:cs="Arial"/>
          <w:u w:val="single"/>
          <w:lang w:val="pt-BR"/>
        </w:rPr>
        <w:t>Jul</w:t>
      </w:r>
      <w:r w:rsidR="007257EB">
        <w:rPr>
          <w:rFonts w:ascii="Arial" w:hAnsi="Arial" w:cs="Arial"/>
          <w:u w:val="single"/>
          <w:lang w:val="pt-BR"/>
        </w:rPr>
        <w:t>ho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726958" w:rsidP="001C65E4">
      <w:pPr>
        <w:autoSpaceDE w:val="0"/>
        <w:autoSpaceDN w:val="0"/>
        <w:adjustRightInd w:val="0"/>
        <w:spacing w:after="0"/>
        <w:ind w:firstLine="1134"/>
        <w:jc w:val="both"/>
        <w:rPr>
          <w:rFonts w:ascii="Arial" w:hAnsi="Arial" w:cs="Arial"/>
          <w:lang w:val="pt-BR"/>
        </w:rPr>
      </w:pPr>
      <w:r w:rsidRPr="00726958">
        <w:rPr>
          <w:b/>
          <w:noProof/>
          <w:sz w:val="20"/>
          <w:szCs w:val="20"/>
          <w:lang w:val="pt-BR" w:eastAsia="pt-BR" w:bidi="ar-SA"/>
        </w:rPr>
        <w:lastRenderedPageBreak/>
        <w:pict>
          <v:roundrect id="_x0000_s1046" style="position:absolute;left:0;text-align:left;margin-left:3032.3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0631C0">
        <w:trPr>
          <w:trHeight w:val="355"/>
        </w:trPr>
        <w:tc>
          <w:tcPr>
            <w:tcW w:w="4024"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0631C0">
        <w:trPr>
          <w:trHeight w:val="366"/>
        </w:trPr>
        <w:tc>
          <w:tcPr>
            <w:tcW w:w="4024"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551110">
              <w:rPr>
                <w:rFonts w:ascii="Arial" w:hAnsi="Arial" w:cs="Arial"/>
                <w:sz w:val="20"/>
                <w:szCs w:val="20"/>
                <w:u w:val="single"/>
                <w:lang w:val="pt-BR"/>
              </w:rPr>
              <w:t>Jul</w:t>
            </w:r>
            <w:r w:rsidR="007257EB">
              <w:rPr>
                <w:rFonts w:ascii="Arial" w:hAnsi="Arial" w:cs="Arial"/>
                <w:sz w:val="20"/>
                <w:szCs w:val="20"/>
                <w:u w:val="single"/>
                <w:lang w:val="pt-BR"/>
              </w:rPr>
              <w:t>ho</w:t>
            </w:r>
            <w:r w:rsidR="002B34E9">
              <w:rPr>
                <w:rFonts w:ascii="Arial" w:hAnsi="Arial" w:cs="Arial"/>
                <w:sz w:val="20"/>
                <w:szCs w:val="20"/>
                <w:u w:val="single"/>
                <w:lang w:val="pt-BR"/>
              </w:rPr>
              <w:t xml:space="preserve"> de 2017</w:t>
            </w:r>
          </w:p>
        </w:tc>
        <w:tc>
          <w:tcPr>
            <w:tcW w:w="1187" w:type="dxa"/>
            <w:vAlign w:val="center"/>
          </w:tcPr>
          <w:p w:rsidR="002B53C4" w:rsidRPr="00347CC3" w:rsidRDefault="001940AE"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5E2CA2">
              <w:rPr>
                <w:rFonts w:ascii="Arial" w:hAnsi="Arial" w:cs="Arial"/>
                <w:sz w:val="20"/>
                <w:szCs w:val="20"/>
              </w:rPr>
              <w:t>5</w:t>
            </w:r>
          </w:p>
        </w:tc>
      </w:tr>
      <w:tr w:rsidR="0012663B" w:rsidRPr="00347CC3" w:rsidTr="000631C0">
        <w:trPr>
          <w:trHeight w:val="366"/>
        </w:trPr>
        <w:tc>
          <w:tcPr>
            <w:tcW w:w="4024" w:type="dxa"/>
            <w:vAlign w:val="center"/>
          </w:tcPr>
          <w:p w:rsidR="00347CC3" w:rsidRPr="00347CC3" w:rsidRDefault="00347CC3"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551110">
              <w:rPr>
                <w:rFonts w:ascii="Arial" w:hAnsi="Arial" w:cs="Arial"/>
                <w:sz w:val="20"/>
                <w:szCs w:val="20"/>
                <w:u w:val="single"/>
                <w:lang w:val="pt-BR"/>
              </w:rPr>
              <w:t>Jul</w:t>
            </w:r>
            <w:r w:rsidR="007257EB">
              <w:rPr>
                <w:rFonts w:ascii="Arial" w:hAnsi="Arial" w:cs="Arial"/>
                <w:sz w:val="20"/>
                <w:szCs w:val="20"/>
                <w:u w:val="single"/>
                <w:lang w:val="pt-BR"/>
              </w:rPr>
              <w:t>ho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5E2CA2">
              <w:rPr>
                <w:rFonts w:ascii="Arial" w:hAnsi="Arial" w:cs="Arial"/>
                <w:sz w:val="20"/>
                <w:szCs w:val="20"/>
                <w:lang w:val="pt-BR"/>
              </w:rPr>
              <w:t>4</w:t>
            </w:r>
          </w:p>
        </w:tc>
      </w:tr>
      <w:tr w:rsidR="0012663B" w:rsidRPr="00347CC3" w:rsidTr="000631C0">
        <w:trPr>
          <w:trHeight w:val="366"/>
        </w:trPr>
        <w:tc>
          <w:tcPr>
            <w:tcW w:w="4024" w:type="dxa"/>
            <w:vAlign w:val="center"/>
          </w:tcPr>
          <w:p w:rsidR="00347CC3" w:rsidRPr="00347CC3" w:rsidRDefault="00347CC3"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551110">
              <w:rPr>
                <w:rFonts w:ascii="Arial" w:hAnsi="Arial" w:cs="Arial"/>
                <w:sz w:val="20"/>
                <w:szCs w:val="20"/>
                <w:u w:val="single"/>
                <w:lang w:val="pt-BR"/>
              </w:rPr>
              <w:t>Jul</w:t>
            </w:r>
            <w:r w:rsidR="007257EB">
              <w:rPr>
                <w:rFonts w:ascii="Arial" w:hAnsi="Arial" w:cs="Arial"/>
                <w:sz w:val="20"/>
                <w:szCs w:val="20"/>
                <w:u w:val="single"/>
                <w:lang w:val="pt-BR"/>
              </w:rPr>
              <w:t>ho</w:t>
            </w:r>
            <w:r w:rsidR="002B34E9">
              <w:rPr>
                <w:rFonts w:ascii="Arial" w:hAnsi="Arial" w:cs="Arial"/>
                <w:sz w:val="20"/>
                <w:szCs w:val="20"/>
                <w:u w:val="single"/>
                <w:lang w:val="pt-BR"/>
              </w:rPr>
              <w:t xml:space="preserve"> de 2017</w:t>
            </w:r>
          </w:p>
        </w:tc>
        <w:tc>
          <w:tcPr>
            <w:tcW w:w="1187" w:type="dxa"/>
            <w:vAlign w:val="center"/>
          </w:tcPr>
          <w:p w:rsidR="00347CC3" w:rsidRPr="00347CC3" w:rsidRDefault="005E2CA2"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11</w:t>
            </w:r>
          </w:p>
        </w:tc>
      </w:tr>
      <w:tr w:rsidR="0012663B" w:rsidRPr="00347CC3" w:rsidTr="000631C0">
        <w:trPr>
          <w:trHeight w:val="366"/>
        </w:trPr>
        <w:tc>
          <w:tcPr>
            <w:tcW w:w="4024" w:type="dxa"/>
            <w:vAlign w:val="center"/>
          </w:tcPr>
          <w:p w:rsidR="00EA2264" w:rsidRPr="00347CC3" w:rsidRDefault="00EA226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vAlign w:val="center"/>
          </w:tcPr>
          <w:p w:rsidR="00EA2264" w:rsidRPr="00347CC3" w:rsidRDefault="0087368F"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24</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0631C0">
        <w:tc>
          <w:tcPr>
            <w:tcW w:w="3564" w:type="dxa"/>
            <w:gridSpan w:val="2"/>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61"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375429" w:rsidRPr="001940AE"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vAlign w:val="center"/>
          </w:tcPr>
          <w:p w:rsidR="00347CC3" w:rsidRPr="00347CC3" w:rsidRDefault="005C22F6" w:rsidP="000631C0">
            <w:pPr>
              <w:pStyle w:val="Default"/>
              <w:spacing w:before="120" w:after="120"/>
              <w:jc w:val="center"/>
              <w:rPr>
                <w:color w:val="auto"/>
                <w:sz w:val="20"/>
                <w:szCs w:val="20"/>
              </w:rPr>
            </w:pPr>
            <w:r>
              <w:rPr>
                <w:color w:val="auto"/>
                <w:sz w:val="20"/>
                <w:szCs w:val="20"/>
              </w:rPr>
              <w:t>0</w:t>
            </w:r>
          </w:p>
        </w:tc>
        <w:tc>
          <w:tcPr>
            <w:tcW w:w="1661" w:type="dxa"/>
            <w:vAlign w:val="center"/>
          </w:tcPr>
          <w:p w:rsidR="00347CC3" w:rsidRPr="00347CC3" w:rsidRDefault="00347CC3" w:rsidP="000631C0">
            <w:pPr>
              <w:pStyle w:val="Default"/>
              <w:spacing w:before="120" w:after="120"/>
              <w:jc w:val="center"/>
              <w:rPr>
                <w:color w:val="auto"/>
                <w:sz w:val="20"/>
                <w:szCs w:val="20"/>
                <w:lang w:val="pt-BR"/>
              </w:rPr>
            </w:pPr>
          </w:p>
        </w:tc>
      </w:tr>
      <w:tr w:rsidR="00375429" w:rsidRPr="00551110"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vAlign w:val="center"/>
          </w:tcPr>
          <w:p w:rsidR="00347CC3" w:rsidRPr="000E62CF" w:rsidRDefault="005C22F6" w:rsidP="000631C0">
            <w:pPr>
              <w:pStyle w:val="Default"/>
              <w:spacing w:before="120" w:after="120"/>
              <w:jc w:val="center"/>
              <w:rPr>
                <w:sz w:val="20"/>
                <w:szCs w:val="20"/>
                <w:lang w:val="pt-BR"/>
              </w:rPr>
            </w:pPr>
            <w:r>
              <w:rPr>
                <w:sz w:val="20"/>
                <w:szCs w:val="20"/>
                <w:lang w:val="pt-BR"/>
              </w:rPr>
              <w:t>0</w:t>
            </w:r>
          </w:p>
        </w:tc>
        <w:tc>
          <w:tcPr>
            <w:tcW w:w="1661" w:type="dxa"/>
            <w:vAlign w:val="center"/>
          </w:tcPr>
          <w:p w:rsidR="00347CC3" w:rsidRPr="00347CC3" w:rsidRDefault="00347CC3" w:rsidP="000631C0">
            <w:pPr>
              <w:pStyle w:val="Default"/>
              <w:spacing w:before="120" w:after="120"/>
              <w:jc w:val="center"/>
              <w:rPr>
                <w:sz w:val="20"/>
                <w:szCs w:val="20"/>
                <w:lang w:val="pt-BR"/>
              </w:rPr>
            </w:pPr>
          </w:p>
        </w:tc>
      </w:tr>
    </w:tbl>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0631C0">
        <w:trPr>
          <w:trHeight w:val="667"/>
        </w:trPr>
        <w:tc>
          <w:tcPr>
            <w:tcW w:w="3510" w:type="dxa"/>
            <w:gridSpan w:val="2"/>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FA6A22" w:rsidTr="000631C0">
        <w:trPr>
          <w:trHeight w:val="971"/>
        </w:trPr>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425" w:type="dxa"/>
            <w:vAlign w:val="center"/>
          </w:tcPr>
          <w:p w:rsidR="00A32926" w:rsidRPr="006E5478" w:rsidRDefault="00A51DAD" w:rsidP="000631C0">
            <w:pPr>
              <w:pStyle w:val="Default"/>
              <w:spacing w:before="120" w:after="120"/>
              <w:jc w:val="center"/>
              <w:rPr>
                <w:color w:val="auto"/>
                <w:sz w:val="20"/>
                <w:szCs w:val="20"/>
              </w:rPr>
            </w:pPr>
            <w:r>
              <w:rPr>
                <w:color w:val="auto"/>
                <w:sz w:val="20"/>
                <w:szCs w:val="20"/>
              </w:rPr>
              <w:t>0</w:t>
            </w:r>
          </w:p>
        </w:tc>
        <w:tc>
          <w:tcPr>
            <w:tcW w:w="1701" w:type="dxa"/>
            <w:vAlign w:val="center"/>
          </w:tcPr>
          <w:p w:rsidR="00A32926" w:rsidRPr="006E5478" w:rsidRDefault="00A32926" w:rsidP="000631C0">
            <w:pPr>
              <w:pStyle w:val="Default"/>
              <w:spacing w:before="120" w:after="120"/>
              <w:jc w:val="center"/>
              <w:rPr>
                <w:color w:val="auto"/>
                <w:sz w:val="20"/>
                <w:szCs w:val="20"/>
                <w:lang w:val="pt-BR"/>
              </w:rPr>
            </w:pPr>
          </w:p>
        </w:tc>
      </w:tr>
      <w:tr w:rsidR="00A32926" w:rsidRPr="00C17149" w:rsidTr="000631C0">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vAlign w:val="center"/>
          </w:tcPr>
          <w:p w:rsidR="00A32926" w:rsidRPr="006E5478" w:rsidRDefault="00C17149" w:rsidP="000631C0">
            <w:pPr>
              <w:pStyle w:val="Default"/>
              <w:spacing w:before="120" w:after="120"/>
              <w:jc w:val="center"/>
              <w:rPr>
                <w:color w:val="auto"/>
                <w:sz w:val="20"/>
                <w:szCs w:val="20"/>
                <w:lang w:val="pt-BR"/>
              </w:rPr>
            </w:pPr>
            <w:r>
              <w:rPr>
                <w:color w:val="auto"/>
                <w:sz w:val="20"/>
                <w:szCs w:val="20"/>
                <w:lang w:val="pt-BR"/>
              </w:rPr>
              <w:t>0</w:t>
            </w:r>
          </w:p>
        </w:tc>
        <w:tc>
          <w:tcPr>
            <w:tcW w:w="1701" w:type="dxa"/>
            <w:vAlign w:val="center"/>
          </w:tcPr>
          <w:p w:rsidR="00A32926" w:rsidRPr="006E5478" w:rsidRDefault="00A32926" w:rsidP="000631C0">
            <w:pPr>
              <w:pStyle w:val="Default"/>
              <w:spacing w:before="120" w:after="120"/>
              <w:jc w:val="center"/>
              <w:rPr>
                <w:color w:val="auto"/>
                <w:sz w:val="20"/>
                <w:szCs w:val="20"/>
                <w:lang w:val="pt-BR"/>
              </w:rPr>
            </w:pP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726958" w:rsidP="000631C0">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C17149"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713A64" w:rsidP="000631C0">
            <w:pPr>
              <w:pStyle w:val="Default"/>
              <w:jc w:val="center"/>
              <w:rPr>
                <w:sz w:val="20"/>
                <w:szCs w:val="20"/>
              </w:rPr>
            </w:pPr>
            <w:r>
              <w:rPr>
                <w:sz w:val="20"/>
                <w:szCs w:val="20"/>
              </w:rPr>
              <w:t>6</w:t>
            </w:r>
          </w:p>
        </w:tc>
        <w:tc>
          <w:tcPr>
            <w:tcW w:w="2525" w:type="dxa"/>
            <w:vAlign w:val="center"/>
          </w:tcPr>
          <w:p w:rsidR="00E7625F" w:rsidRPr="00720ABD" w:rsidRDefault="00550B41" w:rsidP="00713A64">
            <w:pPr>
              <w:pStyle w:val="Default"/>
              <w:jc w:val="center"/>
              <w:rPr>
                <w:sz w:val="20"/>
                <w:szCs w:val="20"/>
                <w:lang w:val="pt-BR"/>
              </w:rPr>
            </w:pPr>
            <w:r>
              <w:rPr>
                <w:sz w:val="20"/>
                <w:szCs w:val="20"/>
                <w:lang w:val="pt-BR"/>
              </w:rPr>
              <w:t xml:space="preserve">Tapera, </w:t>
            </w:r>
            <w:r w:rsidR="00713A64">
              <w:rPr>
                <w:sz w:val="20"/>
                <w:szCs w:val="20"/>
                <w:lang w:val="pt-BR"/>
              </w:rPr>
              <w:t>Ribeirão da Ilha, Cachoeira do Bom Jesus, Ponta das Canas, Abraão e</w:t>
            </w:r>
            <w:r w:rsidR="00114340">
              <w:rPr>
                <w:sz w:val="20"/>
                <w:szCs w:val="20"/>
                <w:lang w:val="pt-BR"/>
              </w:rPr>
              <w:t xml:space="preserve"> Agronômica</w:t>
            </w:r>
          </w:p>
        </w:tc>
      </w:tr>
      <w:tr w:rsidR="00464932" w:rsidRPr="008340C4"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713A64" w:rsidP="000631C0">
            <w:pPr>
              <w:pStyle w:val="Default"/>
              <w:jc w:val="center"/>
              <w:rPr>
                <w:sz w:val="20"/>
                <w:szCs w:val="20"/>
                <w:lang w:val="pt-BR"/>
              </w:rPr>
            </w:pPr>
            <w:r>
              <w:rPr>
                <w:sz w:val="20"/>
                <w:szCs w:val="20"/>
                <w:lang w:val="pt-BR"/>
              </w:rPr>
              <w:t>0</w:t>
            </w:r>
          </w:p>
        </w:tc>
        <w:tc>
          <w:tcPr>
            <w:tcW w:w="2525" w:type="dxa"/>
            <w:vAlign w:val="center"/>
          </w:tcPr>
          <w:p w:rsidR="00E7625F" w:rsidRPr="00846D73" w:rsidRDefault="00E7625F" w:rsidP="000631C0">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726958" w:rsidP="000631C0">
            <w:pPr>
              <w:pStyle w:val="Default"/>
              <w:jc w:val="center"/>
              <w:rPr>
                <w:sz w:val="20"/>
                <w:szCs w:val="20"/>
                <w:lang w:val="pt-BR"/>
              </w:rPr>
            </w:pPr>
            <w:r w:rsidRPr="00726958">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B029A2"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1A50B6"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C17149"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FD6BB4" w:rsidP="000631C0">
            <w:pPr>
              <w:pStyle w:val="Default"/>
              <w:jc w:val="center"/>
              <w:rPr>
                <w:sz w:val="20"/>
                <w:szCs w:val="20"/>
                <w:lang w:val="pt-BR"/>
              </w:rPr>
            </w:pPr>
            <w:r>
              <w:rPr>
                <w:sz w:val="20"/>
                <w:szCs w:val="20"/>
                <w:lang w:val="pt-BR"/>
              </w:rPr>
              <w:t>9</w:t>
            </w:r>
          </w:p>
        </w:tc>
        <w:tc>
          <w:tcPr>
            <w:tcW w:w="2525" w:type="dxa"/>
            <w:vAlign w:val="center"/>
          </w:tcPr>
          <w:p w:rsidR="00D71CD1" w:rsidRPr="00846D73" w:rsidRDefault="00FD6BB4" w:rsidP="000631C0">
            <w:pPr>
              <w:pStyle w:val="Default"/>
              <w:jc w:val="center"/>
              <w:rPr>
                <w:sz w:val="20"/>
                <w:szCs w:val="20"/>
                <w:lang w:val="pt-BR"/>
              </w:rPr>
            </w:pPr>
            <w:r>
              <w:rPr>
                <w:sz w:val="20"/>
                <w:szCs w:val="20"/>
                <w:lang w:val="pt-BR"/>
              </w:rPr>
              <w:t>Carianos, Barra da Lagoa, Canto da Lagoa, Rio Tavares, Rio Vermelho, Ponta das Canas, Centro e Estreito</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BE" w:rsidRDefault="00262BBE" w:rsidP="005437A8">
      <w:pPr>
        <w:spacing w:after="0" w:line="240" w:lineRule="auto"/>
      </w:pPr>
      <w:r>
        <w:separator/>
      </w:r>
    </w:p>
  </w:endnote>
  <w:endnote w:type="continuationSeparator" w:id="0">
    <w:p w:rsidR="00262BBE" w:rsidRDefault="00262BBE"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726958"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726958">
                        <w:pPr>
                          <w:pStyle w:val="Rodap"/>
                          <w:jc w:val="center"/>
                          <w:rPr>
                            <w:b/>
                            <w:color w:val="FFFFFF" w:themeColor="background1"/>
                            <w:sz w:val="32"/>
                            <w:szCs w:val="32"/>
                          </w:rPr>
                        </w:pPr>
                        <w:fldSimple w:instr=" PAGE    \* MERGEFORMAT ">
                          <w:r w:rsidR="00C17149" w:rsidRPr="00C17149">
                            <w:rPr>
                              <w:b/>
                              <w:noProof/>
                              <w:color w:val="FFFFFF" w:themeColor="background1"/>
                              <w:sz w:val="32"/>
                              <w:szCs w:val="32"/>
                            </w:rPr>
                            <w:t>5</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726958">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BE" w:rsidRDefault="00262BBE" w:rsidP="005437A8">
      <w:pPr>
        <w:spacing w:after="0" w:line="240" w:lineRule="auto"/>
      </w:pPr>
      <w:r>
        <w:separator/>
      </w:r>
    </w:p>
  </w:footnote>
  <w:footnote w:type="continuationSeparator" w:id="0">
    <w:p w:rsidR="00262BBE" w:rsidRDefault="00262BBE"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726958">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4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16FC9"/>
    <w:rsid w:val="00036C12"/>
    <w:rsid w:val="00046D34"/>
    <w:rsid w:val="000631C0"/>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51450"/>
    <w:rsid w:val="00154956"/>
    <w:rsid w:val="001566A2"/>
    <w:rsid w:val="001612A7"/>
    <w:rsid w:val="0016231B"/>
    <w:rsid w:val="00163AAA"/>
    <w:rsid w:val="001654BC"/>
    <w:rsid w:val="001824F0"/>
    <w:rsid w:val="001927CA"/>
    <w:rsid w:val="0019360F"/>
    <w:rsid w:val="001940AE"/>
    <w:rsid w:val="00195237"/>
    <w:rsid w:val="00195B7D"/>
    <w:rsid w:val="001A50B6"/>
    <w:rsid w:val="001A50DA"/>
    <w:rsid w:val="001A5DFE"/>
    <w:rsid w:val="001C4512"/>
    <w:rsid w:val="001C4A41"/>
    <w:rsid w:val="001C65E4"/>
    <w:rsid w:val="001D40D5"/>
    <w:rsid w:val="001E19D2"/>
    <w:rsid w:val="001F40D4"/>
    <w:rsid w:val="001F4CE6"/>
    <w:rsid w:val="0021127E"/>
    <w:rsid w:val="002120FD"/>
    <w:rsid w:val="0021240B"/>
    <w:rsid w:val="00213898"/>
    <w:rsid w:val="00217DA4"/>
    <w:rsid w:val="00251C2E"/>
    <w:rsid w:val="00262BBE"/>
    <w:rsid w:val="002700AE"/>
    <w:rsid w:val="00272455"/>
    <w:rsid w:val="002A33D9"/>
    <w:rsid w:val="002B34E9"/>
    <w:rsid w:val="002B53C4"/>
    <w:rsid w:val="002C37F8"/>
    <w:rsid w:val="002C66DA"/>
    <w:rsid w:val="002D5C10"/>
    <w:rsid w:val="002E183B"/>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246A"/>
    <w:rsid w:val="00464932"/>
    <w:rsid w:val="00466A34"/>
    <w:rsid w:val="00475649"/>
    <w:rsid w:val="00483A5E"/>
    <w:rsid w:val="00486B77"/>
    <w:rsid w:val="004951C6"/>
    <w:rsid w:val="004A0702"/>
    <w:rsid w:val="004C33D5"/>
    <w:rsid w:val="004D05F2"/>
    <w:rsid w:val="004E4D19"/>
    <w:rsid w:val="004E6060"/>
    <w:rsid w:val="00512D27"/>
    <w:rsid w:val="00527A2D"/>
    <w:rsid w:val="00541A4F"/>
    <w:rsid w:val="005437A8"/>
    <w:rsid w:val="005460B5"/>
    <w:rsid w:val="00550B41"/>
    <w:rsid w:val="00551110"/>
    <w:rsid w:val="0055576B"/>
    <w:rsid w:val="00560C42"/>
    <w:rsid w:val="0056542E"/>
    <w:rsid w:val="00576FE5"/>
    <w:rsid w:val="00592BF2"/>
    <w:rsid w:val="005A16A3"/>
    <w:rsid w:val="005A1D47"/>
    <w:rsid w:val="005B7657"/>
    <w:rsid w:val="005C22F6"/>
    <w:rsid w:val="005C7771"/>
    <w:rsid w:val="005D0994"/>
    <w:rsid w:val="005D5298"/>
    <w:rsid w:val="005E2CA2"/>
    <w:rsid w:val="005E715F"/>
    <w:rsid w:val="006003F1"/>
    <w:rsid w:val="00600417"/>
    <w:rsid w:val="00601CA4"/>
    <w:rsid w:val="0060720A"/>
    <w:rsid w:val="00610CDF"/>
    <w:rsid w:val="00620CE6"/>
    <w:rsid w:val="00631363"/>
    <w:rsid w:val="00650AD0"/>
    <w:rsid w:val="0065557D"/>
    <w:rsid w:val="00661434"/>
    <w:rsid w:val="006A2962"/>
    <w:rsid w:val="006B0550"/>
    <w:rsid w:val="006C0B93"/>
    <w:rsid w:val="006C3EDF"/>
    <w:rsid w:val="006D2432"/>
    <w:rsid w:val="006E5478"/>
    <w:rsid w:val="006F15AE"/>
    <w:rsid w:val="00713A64"/>
    <w:rsid w:val="007200E0"/>
    <w:rsid w:val="00720ABD"/>
    <w:rsid w:val="0072381D"/>
    <w:rsid w:val="00724D98"/>
    <w:rsid w:val="00725662"/>
    <w:rsid w:val="007257EB"/>
    <w:rsid w:val="00726958"/>
    <w:rsid w:val="0072763F"/>
    <w:rsid w:val="0073245C"/>
    <w:rsid w:val="0074198F"/>
    <w:rsid w:val="007454D9"/>
    <w:rsid w:val="007506D2"/>
    <w:rsid w:val="0076243F"/>
    <w:rsid w:val="007674CB"/>
    <w:rsid w:val="007845E4"/>
    <w:rsid w:val="00787060"/>
    <w:rsid w:val="007A0529"/>
    <w:rsid w:val="007B530A"/>
    <w:rsid w:val="007B5F0D"/>
    <w:rsid w:val="007C18BC"/>
    <w:rsid w:val="007E214C"/>
    <w:rsid w:val="007E4554"/>
    <w:rsid w:val="007F3AD4"/>
    <w:rsid w:val="007F4BD1"/>
    <w:rsid w:val="00800D94"/>
    <w:rsid w:val="0080206C"/>
    <w:rsid w:val="00814A81"/>
    <w:rsid w:val="00817FDB"/>
    <w:rsid w:val="008340C4"/>
    <w:rsid w:val="00846D73"/>
    <w:rsid w:val="00852160"/>
    <w:rsid w:val="00855D30"/>
    <w:rsid w:val="00855D99"/>
    <w:rsid w:val="00855F23"/>
    <w:rsid w:val="00870A74"/>
    <w:rsid w:val="0087368F"/>
    <w:rsid w:val="008764A6"/>
    <w:rsid w:val="0088106B"/>
    <w:rsid w:val="00881F24"/>
    <w:rsid w:val="0088248D"/>
    <w:rsid w:val="008A05CE"/>
    <w:rsid w:val="008A273B"/>
    <w:rsid w:val="008A295F"/>
    <w:rsid w:val="008A7C19"/>
    <w:rsid w:val="008B205A"/>
    <w:rsid w:val="008C55E6"/>
    <w:rsid w:val="008E09C9"/>
    <w:rsid w:val="008E3C66"/>
    <w:rsid w:val="008F0B53"/>
    <w:rsid w:val="00925810"/>
    <w:rsid w:val="00925A5E"/>
    <w:rsid w:val="0092666C"/>
    <w:rsid w:val="00940A38"/>
    <w:rsid w:val="0094676E"/>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4ED8"/>
    <w:rsid w:val="00A07CC7"/>
    <w:rsid w:val="00A31D7B"/>
    <w:rsid w:val="00A322C5"/>
    <w:rsid w:val="00A32926"/>
    <w:rsid w:val="00A50894"/>
    <w:rsid w:val="00A51DAD"/>
    <w:rsid w:val="00A54770"/>
    <w:rsid w:val="00A6618F"/>
    <w:rsid w:val="00A6716C"/>
    <w:rsid w:val="00A71D7C"/>
    <w:rsid w:val="00A72D61"/>
    <w:rsid w:val="00AC51DC"/>
    <w:rsid w:val="00AC581A"/>
    <w:rsid w:val="00AF2FEB"/>
    <w:rsid w:val="00AF5422"/>
    <w:rsid w:val="00AF6620"/>
    <w:rsid w:val="00B004DD"/>
    <w:rsid w:val="00B029A2"/>
    <w:rsid w:val="00B11018"/>
    <w:rsid w:val="00B1315C"/>
    <w:rsid w:val="00B24124"/>
    <w:rsid w:val="00B42CA4"/>
    <w:rsid w:val="00B763B7"/>
    <w:rsid w:val="00BA375A"/>
    <w:rsid w:val="00BA3E15"/>
    <w:rsid w:val="00BB0AF6"/>
    <w:rsid w:val="00BD08C0"/>
    <w:rsid w:val="00BE0D89"/>
    <w:rsid w:val="00BE2E17"/>
    <w:rsid w:val="00C00C8D"/>
    <w:rsid w:val="00C02035"/>
    <w:rsid w:val="00C02D15"/>
    <w:rsid w:val="00C03B97"/>
    <w:rsid w:val="00C17149"/>
    <w:rsid w:val="00C21C89"/>
    <w:rsid w:val="00C22B1C"/>
    <w:rsid w:val="00C30C78"/>
    <w:rsid w:val="00C324A3"/>
    <w:rsid w:val="00C3438B"/>
    <w:rsid w:val="00C53B43"/>
    <w:rsid w:val="00C54A80"/>
    <w:rsid w:val="00C54BA4"/>
    <w:rsid w:val="00C70870"/>
    <w:rsid w:val="00C71FE9"/>
    <w:rsid w:val="00C7424A"/>
    <w:rsid w:val="00C93E3B"/>
    <w:rsid w:val="00CA1A93"/>
    <w:rsid w:val="00CA6FF0"/>
    <w:rsid w:val="00CB5311"/>
    <w:rsid w:val="00CE2C7A"/>
    <w:rsid w:val="00D11B2D"/>
    <w:rsid w:val="00D24C14"/>
    <w:rsid w:val="00D253D2"/>
    <w:rsid w:val="00D360B0"/>
    <w:rsid w:val="00D4189F"/>
    <w:rsid w:val="00D43743"/>
    <w:rsid w:val="00D5513F"/>
    <w:rsid w:val="00D55907"/>
    <w:rsid w:val="00D563A9"/>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965A6"/>
    <w:rsid w:val="00EA2264"/>
    <w:rsid w:val="00EB5F95"/>
    <w:rsid w:val="00ED0FCC"/>
    <w:rsid w:val="00EE56DA"/>
    <w:rsid w:val="00EF51F2"/>
    <w:rsid w:val="00F22C03"/>
    <w:rsid w:val="00F25147"/>
    <w:rsid w:val="00F27573"/>
    <w:rsid w:val="00F33C0B"/>
    <w:rsid w:val="00F34227"/>
    <w:rsid w:val="00F447B5"/>
    <w:rsid w:val="00F56F90"/>
    <w:rsid w:val="00FA6A22"/>
    <w:rsid w:val="00FB1AE9"/>
    <w:rsid w:val="00FB4C3E"/>
    <w:rsid w:val="00FC126A"/>
    <w:rsid w:val="00FD03C4"/>
    <w:rsid w:val="00FD3AEE"/>
    <w:rsid w:val="00FD6B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2"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2743F0-8F28-4123-8500-A0514C8D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658</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Julho de 2017</dc:subject>
  <dc:creator>SMS - PMF</dc:creator>
  <cp:lastModifiedBy>cristiane.snoeijer</cp:lastModifiedBy>
  <cp:revision>12</cp:revision>
  <cp:lastPrinted>2016-07-08T11:29:00Z</cp:lastPrinted>
  <dcterms:created xsi:type="dcterms:W3CDTF">2017-08-25T16:38:00Z</dcterms:created>
  <dcterms:modified xsi:type="dcterms:W3CDTF">2017-08-28T17:14:00Z</dcterms:modified>
</cp:coreProperties>
</file>