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1" w:rsidRPr="00245A38" w:rsidRDefault="00AC1F13" w:rsidP="00A00C0E">
      <w:pPr>
        <w:spacing w:after="6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23900"/>
            <wp:effectExtent l="19050" t="0" r="9525" b="0"/>
            <wp:wrapSquare wrapText="bothSides"/>
            <wp:docPr id="2" name="Imagem 2" descr="Logo Prefeitura só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refeitura só fig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D71" w:rsidRPr="00245A38">
        <w:rPr>
          <w:rFonts w:ascii="Arial" w:hAnsi="Arial" w:cs="Arial"/>
          <w:sz w:val="20"/>
          <w:szCs w:val="20"/>
        </w:rPr>
        <w:t>PREFEITURA DE FLORIANÓPOLIS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SECRETARIA MUNICIPAL DE SAÚDE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DIRETORIA DE VIGILÂNCIA EM SAÚDE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GERÊNCIA DE VIGILÂNCIA SANITÁRIA E AMBIENTAL</w:t>
      </w:r>
    </w:p>
    <w:p w:rsidR="002B0D71" w:rsidRPr="00245A38" w:rsidRDefault="002B0D7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0194B" w:rsidRDefault="0060194B" w:rsidP="00150FD6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0FD6" w:rsidRPr="0060194B" w:rsidRDefault="00150FD6" w:rsidP="0060194B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AB6D37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150FD6" w:rsidRPr="00637B5E" w:rsidRDefault="00150FD6" w:rsidP="00150FD6">
      <w:pPr>
        <w:jc w:val="center"/>
        <w:rPr>
          <w:shd w:val="clear" w:color="auto" w:fill="FFFF66"/>
        </w:rPr>
      </w:pP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AB6D37">
        <w:rPr>
          <w:rFonts w:ascii="Arial" w:hAnsi="Arial" w:cs="Arial"/>
          <w:sz w:val="20"/>
          <w:szCs w:val="20"/>
        </w:rPr>
        <w:t>nchimento deste Roteiro de Auto</w:t>
      </w:r>
      <w:r w:rsidR="00AB6D37" w:rsidRPr="00637B5E">
        <w:rPr>
          <w:rFonts w:ascii="Arial" w:hAnsi="Arial" w:cs="Arial"/>
          <w:sz w:val="20"/>
          <w:szCs w:val="20"/>
        </w:rPr>
        <w:t>inspeção</w:t>
      </w:r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AB6D37">
        <w:rPr>
          <w:rFonts w:ascii="Arial" w:hAnsi="Arial" w:cs="Arial"/>
          <w:sz w:val="20"/>
          <w:szCs w:val="20"/>
        </w:rPr>
        <w:t>eenchimento do Roteiro de Autoi</w:t>
      </w:r>
      <w:r w:rsidRPr="00637B5E">
        <w:rPr>
          <w:rFonts w:ascii="Arial" w:hAnsi="Arial" w:cs="Arial"/>
          <w:sz w:val="20"/>
          <w:szCs w:val="20"/>
        </w:rPr>
        <w:t>nspeção com informações NÃO condizentes com a realidade verificada pela autoridade de saúde nas inspeções sanitárias presenciais efetuadas (artigo 6º, Decreto Municipal 13025 de 29 de abril de 2014).</w:t>
      </w:r>
    </w:p>
    <w:p w:rsidR="00150FD6" w:rsidRPr="00637B5E" w:rsidRDefault="00150FD6" w:rsidP="00150FD6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AB6D37">
        <w:rPr>
          <w:rFonts w:ascii="Arial" w:hAnsi="Arial" w:cs="Arial"/>
          <w:sz w:val="20"/>
          <w:szCs w:val="20"/>
        </w:rPr>
        <w:t>nformidade" no Roteiro de Autoi</w:t>
      </w:r>
      <w:r w:rsidRPr="00637B5E">
        <w:rPr>
          <w:rFonts w:ascii="Arial" w:hAnsi="Arial" w:cs="Arial"/>
          <w:sz w:val="20"/>
          <w:szCs w:val="20"/>
        </w:rPr>
        <w:t>nspeção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14D91" w:rsidRDefault="00150FD6" w:rsidP="00214D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E31A79" w:rsidRPr="00214D91">
        <w:rPr>
          <w:rFonts w:ascii="Arial" w:hAnsi="Arial" w:cs="Arial"/>
          <w:b/>
          <w:sz w:val="20"/>
          <w:szCs w:val="20"/>
          <w:u w:val="single"/>
        </w:rPr>
        <w:lastRenderedPageBreak/>
        <w:t>ROTEIRO DE AUTOINSPEÇÃO</w:t>
      </w:r>
      <w:r w:rsidR="00214D91" w:rsidRPr="00214D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57CA" w:rsidRPr="00E357CA" w:rsidRDefault="00214D91" w:rsidP="00214D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4D91">
        <w:rPr>
          <w:rFonts w:ascii="Arial" w:hAnsi="Arial" w:cs="Arial"/>
          <w:b/>
          <w:sz w:val="20"/>
          <w:szCs w:val="20"/>
          <w:u w:val="single"/>
        </w:rPr>
        <w:t xml:space="preserve">CNAE </w:t>
      </w:r>
      <w:r>
        <w:rPr>
          <w:rFonts w:ascii="Arial" w:hAnsi="Arial" w:cs="Arial"/>
          <w:b/>
          <w:sz w:val="20"/>
          <w:szCs w:val="20"/>
          <w:u w:val="single"/>
        </w:rPr>
        <w:t xml:space="preserve">8690-9/02 - </w:t>
      </w:r>
      <w:r w:rsidRPr="00214D91">
        <w:rPr>
          <w:rFonts w:ascii="Arial" w:hAnsi="Arial" w:cs="Arial"/>
          <w:b/>
          <w:caps/>
          <w:sz w:val="20"/>
          <w:szCs w:val="20"/>
          <w:u w:val="single"/>
        </w:rPr>
        <w:t>Atividades de bancos de leite humano</w:t>
      </w:r>
    </w:p>
    <w:p w:rsidR="00E31A79" w:rsidRPr="00E357CA" w:rsidRDefault="00E31A79" w:rsidP="00E31A7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43B8" w:rsidRDefault="003D43B8">
      <w:pPr>
        <w:rPr>
          <w:rFonts w:ascii="Arial" w:hAnsi="Arial" w:cs="Arial"/>
          <w:sz w:val="20"/>
          <w:szCs w:val="20"/>
        </w:rPr>
      </w:pPr>
    </w:p>
    <w:p w:rsidR="004F329A" w:rsidRPr="00BB0D46" w:rsidRDefault="004F329A" w:rsidP="004F329A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4F329A" w:rsidRDefault="004F329A" w:rsidP="004F329A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4F329A" w:rsidRPr="00245A38" w:rsidTr="004F329A">
        <w:trPr>
          <w:trHeight w:val="697"/>
        </w:trPr>
        <w:tc>
          <w:tcPr>
            <w:tcW w:w="10620" w:type="dxa"/>
            <w:gridSpan w:val="3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4F329A" w:rsidRPr="00245A38" w:rsidTr="004F329A">
        <w:trPr>
          <w:trHeight w:val="701"/>
        </w:trPr>
        <w:tc>
          <w:tcPr>
            <w:tcW w:w="10620" w:type="dxa"/>
            <w:gridSpan w:val="3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4F329A" w:rsidRPr="00245A38" w:rsidTr="004F329A">
        <w:trPr>
          <w:trHeight w:val="708"/>
        </w:trPr>
        <w:tc>
          <w:tcPr>
            <w:tcW w:w="10620" w:type="dxa"/>
            <w:gridSpan w:val="3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4F329A" w:rsidRPr="00245A38" w:rsidTr="004F329A">
        <w:trPr>
          <w:trHeight w:val="708"/>
        </w:trPr>
        <w:tc>
          <w:tcPr>
            <w:tcW w:w="6948" w:type="dxa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4F329A" w:rsidRPr="00BB0D46" w:rsidRDefault="004F329A" w:rsidP="004F329A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150FD6" w:rsidRPr="003D43B8" w:rsidRDefault="00150FD6" w:rsidP="00150FD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150FD6" w:rsidRDefault="00150FD6" w:rsidP="00150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150FD6" w:rsidRDefault="00150FD6" w:rsidP="00150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150FD6" w:rsidRDefault="00150FD6" w:rsidP="00150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6C7349" w:rsidRDefault="00C54275" w:rsidP="00F77F5D">
      <w:pPr>
        <w:rPr>
          <w:rFonts w:ascii="Arial" w:hAnsi="Arial" w:cs="Arial"/>
          <w:sz w:val="20"/>
          <w:szCs w:val="20"/>
        </w:rPr>
      </w:pPr>
      <w:r w:rsidRPr="00C54275">
        <w:rPr>
          <w:rFonts w:ascii="Arial" w:hAnsi="Arial" w:cs="Arial"/>
          <w:sz w:val="20"/>
          <w:szCs w:val="20"/>
        </w:rPr>
        <w:t>CF – Conformidade (</w:t>
      </w:r>
      <w:r w:rsidRPr="00C54275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C54275">
        <w:rPr>
          <w:rFonts w:ascii="Arial" w:hAnsi="Arial" w:cs="Arial"/>
          <w:sz w:val="20"/>
          <w:szCs w:val="20"/>
        </w:rPr>
        <w:t>.</w:t>
      </w:r>
    </w:p>
    <w:p w:rsidR="00AB6D37" w:rsidRPr="00C1711C" w:rsidRDefault="00AB6D37" w:rsidP="00F77F5D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W w:w="109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"/>
        <w:gridCol w:w="450"/>
        <w:gridCol w:w="450"/>
        <w:gridCol w:w="450"/>
        <w:gridCol w:w="4140"/>
      </w:tblGrid>
      <w:tr w:rsidR="00325540" w:rsidRPr="0059596A" w:rsidTr="0032554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ITENS NECESSÁRIOS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NA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CF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77F5D" w:rsidRPr="0059596A" w:rsidRDefault="00F77F5D" w:rsidP="00F77F5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ENQUADRAMENTO LEGAL</w:t>
            </w:r>
          </w:p>
        </w:tc>
      </w:tr>
      <w:tr w:rsidR="00325540" w:rsidRPr="0059596A" w:rsidTr="00325540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CONDIÇÕES ORGANIZACIONAIS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sz w:val="20"/>
              </w:rPr>
            </w:pPr>
            <w:r w:rsidRPr="0059596A">
              <w:rPr>
                <w:rFonts w:cs="Arial"/>
                <w:sz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sz w:val="20"/>
              </w:rPr>
            </w:pPr>
            <w:r w:rsidRPr="0059596A">
              <w:rPr>
                <w:rFonts w:cs="Arial"/>
                <w:sz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sz w:val="20"/>
              </w:rPr>
            </w:pPr>
            <w:r w:rsidRPr="0059596A">
              <w:rPr>
                <w:rFonts w:cs="Arial"/>
                <w:sz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7F5D" w:rsidRPr="0059596A" w:rsidRDefault="00F77F5D" w:rsidP="00F77F5D">
            <w:pPr>
              <w:jc w:val="center"/>
              <w:rPr>
                <w:rFonts w:cs="Arial"/>
                <w:sz w:val="20"/>
              </w:rPr>
            </w:pPr>
            <w:r w:rsidRPr="0059596A">
              <w:rPr>
                <w:rFonts w:cs="Arial"/>
                <w:sz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7F5D" w:rsidRPr="0059596A" w:rsidRDefault="00F77F5D" w:rsidP="00F77F5D">
            <w:pPr>
              <w:jc w:val="both"/>
              <w:rPr>
                <w:rFonts w:cs="Arial"/>
                <w:b/>
                <w:bCs/>
                <w:sz w:val="20"/>
              </w:rPr>
            </w:pPr>
            <w:r w:rsidRPr="0059596A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686E0F" w:rsidRPr="0059596A" w:rsidTr="00F77F5D">
        <w:trPr>
          <w:trHeight w:val="122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profissionais de nível superior legalmente</w:t>
            </w:r>
          </w:p>
          <w:p w:rsidR="00686E0F" w:rsidRPr="00AB6D37" w:rsidRDefault="00686E0F" w:rsidP="00686E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D37">
              <w:rPr>
                <w:rFonts w:ascii="Arial" w:hAnsi="Arial" w:cs="Arial"/>
                <w:sz w:val="20"/>
                <w:szCs w:val="20"/>
              </w:rPr>
              <w:t>habilitados</w:t>
            </w:r>
            <w:proofErr w:type="gramEnd"/>
            <w:r w:rsidRPr="00AB6D37">
              <w:rPr>
                <w:rFonts w:ascii="Arial" w:hAnsi="Arial" w:cs="Arial"/>
                <w:sz w:val="20"/>
                <w:szCs w:val="20"/>
              </w:rPr>
              <w:t xml:space="preserve"> e capacitados para assumir a responsabil</w:t>
            </w:r>
            <w:r w:rsidR="004016DE" w:rsidRPr="00AB6D37">
              <w:rPr>
                <w:rFonts w:ascii="Arial" w:hAnsi="Arial" w:cs="Arial"/>
                <w:sz w:val="20"/>
                <w:szCs w:val="20"/>
              </w:rPr>
              <w:t>idade pelas atividades abaixo descritas?</w:t>
            </w:r>
          </w:p>
          <w:p w:rsidR="00686E0F" w:rsidRPr="00AB6D37" w:rsidRDefault="00686E0F" w:rsidP="00686E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a) médico-assistenciais;</w:t>
            </w:r>
          </w:p>
          <w:p w:rsidR="00686E0F" w:rsidRPr="00AB6D37" w:rsidRDefault="00686E0F" w:rsidP="00686E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b) de tecnologia de alimentos.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E0F" w:rsidRPr="00AB6D37" w:rsidRDefault="00686E0F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5.1.4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3C209D" w:rsidRPr="0059596A" w:rsidTr="003C209D">
        <w:trPr>
          <w:trHeight w:val="71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EF5D01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profissional legalmente habilitado que assume a responsabilidade técnica pelo serviço de BLH perante a VISA?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E0F" w:rsidRPr="00AB6D37" w:rsidRDefault="00686E0F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E0F" w:rsidRPr="00AB6D37" w:rsidRDefault="00EF5D01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Art. 14 RDC 063/11 ANVISA c/c Item 5.1.4.1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3C209D" w:rsidRPr="0059596A" w:rsidTr="003C209D">
        <w:trPr>
          <w:trHeight w:val="55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5D" w:rsidRPr="00AB6D37" w:rsidRDefault="00EF5D01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Desenvolve ações de promoção, proteção e apoio ao aleitamento materno?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5D" w:rsidRPr="00AB6D37" w:rsidRDefault="00F77F5D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5D" w:rsidRPr="00AB6D37" w:rsidRDefault="00F77F5D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5D" w:rsidRPr="00AB6D37" w:rsidRDefault="00F77F5D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5D" w:rsidRPr="00AB6D37" w:rsidRDefault="00F77F5D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F5D" w:rsidRPr="00AB6D37" w:rsidRDefault="00EF5D01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5.1.7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EF5D01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E</w:t>
            </w:r>
            <w:r w:rsidR="00AC2653" w:rsidRPr="00AB6D37">
              <w:rPr>
                <w:rFonts w:ascii="Arial" w:hAnsi="Arial" w:cs="Arial"/>
                <w:sz w:val="20"/>
                <w:szCs w:val="20"/>
              </w:rPr>
              <w:t>xecuta</w:t>
            </w:r>
            <w:r w:rsidRPr="00AB6D37">
              <w:rPr>
                <w:rFonts w:ascii="Arial" w:hAnsi="Arial" w:cs="Arial"/>
                <w:sz w:val="20"/>
                <w:szCs w:val="20"/>
              </w:rPr>
              <w:t xml:space="preserve"> as operações de controle clínico da doadora?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EF5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EF5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EF5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EF5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D01" w:rsidRPr="00AB6D37" w:rsidRDefault="00EF5D01" w:rsidP="00EF5D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5.1.7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EF5D01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Dispõe de um sistema de informação que assegure os registros relacionados às doadoras, receptores e produtos, disponíveis às autoridades competentes, guardando sigilo e privacidade dos mesmos?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D01" w:rsidRPr="00AB6D37" w:rsidRDefault="00EF5D01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5.1.7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EF5D01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E</w:t>
            </w:r>
            <w:r w:rsidR="009E4DC2" w:rsidRPr="00AB6D37">
              <w:rPr>
                <w:rFonts w:ascii="Arial" w:hAnsi="Arial" w:cs="Arial"/>
                <w:sz w:val="20"/>
                <w:szCs w:val="20"/>
              </w:rPr>
              <w:t>stabelece</w:t>
            </w:r>
            <w:r w:rsidRPr="00AB6D37">
              <w:rPr>
                <w:rFonts w:ascii="Arial" w:hAnsi="Arial" w:cs="Arial"/>
                <w:sz w:val="20"/>
                <w:szCs w:val="20"/>
              </w:rPr>
              <w:t xml:space="preserve"> ações que permitam a rastreabilidade do </w:t>
            </w:r>
            <w:r w:rsidR="009E4DC2" w:rsidRPr="00AB6D37">
              <w:rPr>
                <w:rFonts w:ascii="Arial" w:hAnsi="Arial" w:cs="Arial"/>
                <w:sz w:val="20"/>
                <w:szCs w:val="20"/>
              </w:rPr>
              <w:t>Leite Humano Ordenhado (</w:t>
            </w:r>
            <w:r w:rsidRPr="00AB6D37">
              <w:rPr>
                <w:rFonts w:ascii="Arial" w:hAnsi="Arial" w:cs="Arial"/>
                <w:sz w:val="20"/>
                <w:szCs w:val="20"/>
              </w:rPr>
              <w:t>LHO</w:t>
            </w:r>
            <w:r w:rsidR="009E4DC2" w:rsidRPr="00AB6D37">
              <w:rPr>
                <w:rFonts w:ascii="Arial" w:hAnsi="Arial" w:cs="Arial"/>
                <w:sz w:val="20"/>
                <w:szCs w:val="20"/>
              </w:rPr>
              <w:t>)</w:t>
            </w:r>
            <w:r w:rsidRPr="00AB6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D01" w:rsidRPr="00AB6D37" w:rsidRDefault="00EF5D01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5.1.7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EF5D01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9E4DC2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Dispõe de normas e rotinas escritas de todos os</w:t>
            </w:r>
            <w:r w:rsidR="004F7CE7"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37">
              <w:rPr>
                <w:rFonts w:ascii="Arial" w:hAnsi="Arial" w:cs="Arial"/>
                <w:sz w:val="20"/>
                <w:szCs w:val="20"/>
              </w:rPr>
              <w:t>procedimentos realizados?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D01" w:rsidRPr="00AB6D37" w:rsidRDefault="009E4DC2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5.1.9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EF5D01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9E4DC2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as Boas Práticas de Manipulação</w:t>
            </w:r>
            <w:r w:rsidR="004F7CE7"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37">
              <w:rPr>
                <w:rFonts w:ascii="Arial" w:hAnsi="Arial" w:cs="Arial"/>
                <w:sz w:val="20"/>
                <w:szCs w:val="20"/>
              </w:rPr>
              <w:t>do LHO implementadas?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D01" w:rsidRPr="00AB6D37" w:rsidRDefault="00EF5D01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D01" w:rsidRPr="00AB6D37" w:rsidRDefault="009E4DC2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5.1.9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9E4DC2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7315CE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Os equipamentos e instrumentos necessários ao atendimento de sua demanda estão em perfeitas condições de conservação e limpeza?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DC2" w:rsidRPr="00AB6D37" w:rsidRDefault="007315CE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5.4.1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4F7CE7" w:rsidRPr="0059596A" w:rsidTr="004F7CE7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7315CE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Possui programação de manutenção preventiva dos equipamentos e instrumentos?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C2" w:rsidRPr="00AB6D37" w:rsidRDefault="009E4DC2" w:rsidP="00F7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DC2" w:rsidRPr="00AB6D37" w:rsidRDefault="007315CE" w:rsidP="00F7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5.4.1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4F7CE7">
        <w:trPr>
          <w:trHeight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4F7CE7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AB6D37">
              <w:rPr>
                <w:rFonts w:ascii="Arial" w:hAnsi="Arial" w:cs="Arial"/>
                <w:sz w:val="20"/>
                <w:szCs w:val="20"/>
              </w:rPr>
              <w:t>paramentação</w:t>
            </w:r>
            <w:proofErr w:type="spellEnd"/>
            <w:r w:rsidRPr="00AB6D37">
              <w:rPr>
                <w:rFonts w:ascii="Arial" w:hAnsi="Arial" w:cs="Arial"/>
                <w:sz w:val="20"/>
                <w:szCs w:val="20"/>
              </w:rPr>
              <w:t xml:space="preserve"> dos profissionais</w:t>
            </w:r>
            <w:r w:rsidR="007B5069" w:rsidRPr="00AB6D37">
              <w:rPr>
                <w:rFonts w:ascii="Arial" w:hAnsi="Arial" w:cs="Arial"/>
                <w:sz w:val="20"/>
                <w:szCs w:val="20"/>
              </w:rPr>
              <w:t xml:space="preserve"> envolvidos na m</w:t>
            </w:r>
            <w:r w:rsidRPr="00AB6D37">
              <w:rPr>
                <w:rFonts w:ascii="Arial" w:hAnsi="Arial" w:cs="Arial"/>
                <w:sz w:val="20"/>
                <w:szCs w:val="20"/>
              </w:rPr>
              <w:t xml:space="preserve">anipulação </w:t>
            </w:r>
            <w:r w:rsidR="007B5069" w:rsidRPr="00AB6D37">
              <w:rPr>
                <w:rFonts w:ascii="Arial" w:hAnsi="Arial" w:cs="Arial"/>
                <w:sz w:val="20"/>
                <w:szCs w:val="20"/>
              </w:rPr>
              <w:t xml:space="preserve">do LHO </w:t>
            </w:r>
            <w:r w:rsidRPr="00AB6D37">
              <w:rPr>
                <w:rFonts w:ascii="Arial" w:hAnsi="Arial" w:cs="Arial"/>
                <w:sz w:val="20"/>
                <w:szCs w:val="20"/>
              </w:rPr>
              <w:t>contempla</w:t>
            </w:r>
            <w:r w:rsidR="007B5069" w:rsidRPr="00AB6D37">
              <w:rPr>
                <w:rFonts w:ascii="Arial" w:hAnsi="Arial" w:cs="Arial"/>
                <w:sz w:val="20"/>
                <w:szCs w:val="20"/>
              </w:rPr>
              <w:t xml:space="preserve"> o uso de gorro, óculos de proteção, máscara, avental e luvas de procedimento</w:t>
            </w:r>
            <w:r w:rsidRPr="00AB6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5.5.2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4F7CE7" w:rsidRPr="0059596A" w:rsidTr="004F7CE7">
        <w:trPr>
          <w:trHeight w:val="34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AB6D37">
              <w:rPr>
                <w:rFonts w:ascii="Arial" w:hAnsi="Arial" w:cs="Arial"/>
                <w:sz w:val="20"/>
                <w:szCs w:val="20"/>
              </w:rPr>
              <w:t>paramentação</w:t>
            </w:r>
            <w:proofErr w:type="spellEnd"/>
            <w:r w:rsidRPr="00AB6D37">
              <w:rPr>
                <w:rFonts w:ascii="Arial" w:hAnsi="Arial" w:cs="Arial"/>
                <w:sz w:val="20"/>
                <w:szCs w:val="20"/>
              </w:rPr>
              <w:t xml:space="preserve"> das doadoras contempla o uso de gorro, máscara e avental fenestrado?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5.5.3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7B5069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 material utilizado na manipulação do LH é previamente esterilizado?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6.3.2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7B5069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Fornece embalagens adequadas e esterilizadas para cada doadora?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6.3.3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7B5069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Controla a temperatura e registra em planilha específica todas as etapas do fluxograma que</w:t>
            </w:r>
            <w:r w:rsidR="004F7CE7"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37">
              <w:rPr>
                <w:rFonts w:ascii="Arial" w:hAnsi="Arial" w:cs="Arial"/>
                <w:sz w:val="20"/>
                <w:szCs w:val="20"/>
              </w:rPr>
              <w:t>exigem cadeia de frio: transporte, estocagem e distribuição</w:t>
            </w:r>
            <w:r w:rsidR="00BC4ED8" w:rsidRPr="00AB6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BC4ED8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6.4.1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7B5069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BC4ED8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Realiza o processamento do leite humano ordenhado conforme preconizado na RDC ANVISA 171/2006?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BC4ED8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RDC ANVISA 171/2006</w:t>
            </w:r>
          </w:p>
        </w:tc>
      </w:tr>
      <w:tr w:rsidR="007B5069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BC4ED8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Os rótulos das embalagens destinadas à coleta domiciliar contêm, no mínimo, identificação da doadora, data e hora da primeira coleta?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BC4ED8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6.8.3.3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BC4ED8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ED8" w:rsidRPr="00AB6D37" w:rsidRDefault="00BC4ED8" w:rsidP="004F7C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Os rótulos das embalagens de LHOC e LHOP estocado contêm, no mínimo, identificação da doadora, conteúdo energético e validade?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ED8" w:rsidRPr="00AB6D37" w:rsidRDefault="00BC4ED8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ED8" w:rsidRPr="00AB6D37" w:rsidRDefault="00BC4ED8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ED8" w:rsidRPr="00AB6D37" w:rsidRDefault="00BC4ED8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ED8" w:rsidRPr="00AB6D37" w:rsidRDefault="00BC4ED8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ED8" w:rsidRPr="00AB6D37" w:rsidRDefault="00BC4ED8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6.8.3.3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Registra diariamente as temperaturas máximas e mínimas dos equipamentos destinados à estocagem do LHO?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6.10.8 da RDC ANVISA 171/2006</w:t>
            </w:r>
          </w:p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Possui registro de controle de estoque </w:t>
            </w:r>
            <w:proofErr w:type="spellStart"/>
            <w:r w:rsidRPr="00AB6D37">
              <w:rPr>
                <w:rFonts w:ascii="Arial" w:hAnsi="Arial" w:cs="Arial"/>
                <w:sz w:val="20"/>
                <w:szCs w:val="20"/>
              </w:rPr>
              <w:t>indentificando</w:t>
            </w:r>
            <w:proofErr w:type="spellEnd"/>
            <w:r w:rsidRPr="00AB6D37">
              <w:rPr>
                <w:rFonts w:ascii="Arial" w:hAnsi="Arial" w:cs="Arial"/>
                <w:sz w:val="20"/>
                <w:szCs w:val="20"/>
              </w:rPr>
              <w:t xml:space="preserve"> os diferentes tipos de produto sob sua responsabilidade?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6.10.9 da RDC ANVISA 171/2006</w:t>
            </w:r>
          </w:p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596A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Realiza o controle de qualidade do LHOC conforme os parâmetros de conformidade descritos na tabela I da RDC ANVISA 171/2006?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7.2 da RDC ANVISA 171/2006</w:t>
            </w:r>
          </w:p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117F10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Realiza o controle de qualidade do LHOP conforme os parâmetros de conformidade descritos na tabela II da RDC ANVISA 171/2006?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F10" w:rsidRPr="00AB6D37" w:rsidRDefault="00117F10" w:rsidP="00117F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7.3 da RDC ANVISA 171/2006</w:t>
            </w:r>
          </w:p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7F10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F10" w:rsidRPr="00AB6D37" w:rsidRDefault="00117F10" w:rsidP="004B0BE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 profissional responsável pela execução das análises físico-químicas, organolépticas e microbiológicas do leite humano possui capacitação específica para esta atividade, atestado por certificado de treinamento reconhecido pela Rede Brasileira de Bancos de Leite Humano?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F10" w:rsidRPr="00AB6D37" w:rsidRDefault="00117F10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F10" w:rsidRPr="00AB6D37" w:rsidRDefault="00117F10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F10" w:rsidRPr="00AB6D37" w:rsidRDefault="00117F10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F10" w:rsidRPr="00AB6D37" w:rsidRDefault="00117F10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F10" w:rsidRPr="00AB6D37" w:rsidRDefault="00117F10" w:rsidP="00117F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7.4 da RDC ANVISA 171/2006</w:t>
            </w:r>
          </w:p>
          <w:p w:rsidR="00117F10" w:rsidRPr="00AB6D37" w:rsidRDefault="00117F10" w:rsidP="00117F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BE7" w:rsidRPr="0059596A" w:rsidTr="00F77F5D">
        <w:trPr>
          <w:trHeight w:val="3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E7" w:rsidRPr="00AB6D37" w:rsidRDefault="004B0BE7" w:rsidP="004B0BE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Realiza o monitoramento dos indicadores abaixo descritos?</w:t>
            </w:r>
          </w:p>
          <w:p w:rsidR="004B0BE7" w:rsidRPr="00AB6D37" w:rsidRDefault="004B0BE7" w:rsidP="004B0BE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0BE7" w:rsidRPr="00AB6D37" w:rsidRDefault="004B0BE7" w:rsidP="004B0BE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a) Índice de positividade para microrganismos do Grupo Coliforme;</w:t>
            </w:r>
          </w:p>
          <w:p w:rsidR="004B0BE7" w:rsidRPr="00AB6D37" w:rsidRDefault="004B0BE7" w:rsidP="004B0BE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b) Índice de não conformidade para acidez </w:t>
            </w:r>
            <w:proofErr w:type="spellStart"/>
            <w:r w:rsidRPr="00AB6D37">
              <w:rPr>
                <w:rFonts w:ascii="Arial" w:hAnsi="Arial" w:cs="Arial"/>
                <w:sz w:val="20"/>
                <w:szCs w:val="20"/>
              </w:rPr>
              <w:t>Dornic</w:t>
            </w:r>
            <w:proofErr w:type="spellEnd"/>
            <w:r w:rsidRPr="00AB6D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E7" w:rsidRPr="00AB6D37" w:rsidRDefault="004B0BE7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E7" w:rsidRPr="00AB6D37" w:rsidRDefault="004B0BE7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E7" w:rsidRPr="00AB6D37" w:rsidRDefault="004B0BE7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E7" w:rsidRPr="00AB6D37" w:rsidRDefault="004B0BE7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E7" w:rsidRPr="00AB6D37" w:rsidRDefault="004B0BE7" w:rsidP="004B0B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8.1 da RDC ANVISA 171/2006</w:t>
            </w:r>
          </w:p>
          <w:p w:rsidR="004B0BE7" w:rsidRPr="00AB6D37" w:rsidRDefault="004B0BE7" w:rsidP="00117F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325540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069" w:rsidRPr="00AB6D37" w:rsidRDefault="007B5069" w:rsidP="007B5069">
            <w:pPr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GESTÃO DA INFRAESTRUTURA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9596A" w:rsidRPr="0059596A" w:rsidTr="00F77F5D">
        <w:trPr>
          <w:trHeight w:val="73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Os ambientes estão em boas condições de conservação, segurança, organização, conforto e limpeza?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Art. 36 RDC 063/11 ANVISA</w:t>
            </w:r>
          </w:p>
        </w:tc>
      </w:tr>
      <w:tr w:rsidR="0059596A" w:rsidRPr="0059596A" w:rsidTr="00F77F5D">
        <w:trPr>
          <w:trHeight w:val="30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acessibilidade aos portadores d</w:t>
            </w:r>
            <w:r w:rsidR="0061243F" w:rsidRPr="00AB6D37">
              <w:rPr>
                <w:rFonts w:ascii="Arial" w:hAnsi="Arial" w:cs="Arial"/>
                <w:sz w:val="20"/>
                <w:szCs w:val="20"/>
              </w:rPr>
              <w:t>e necessidades especiais – PNE</w:t>
            </w:r>
            <w:r w:rsidRPr="00AB6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NBR 9050:2004</w:t>
            </w:r>
          </w:p>
        </w:tc>
      </w:tr>
      <w:tr w:rsidR="0059596A" w:rsidRPr="0059596A" w:rsidTr="00BB4EE9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4F7CE7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Realiza a higiene e desinfecção dos</w:t>
            </w:r>
            <w:r w:rsidR="007B5069" w:rsidRPr="00AB6D37">
              <w:rPr>
                <w:rFonts w:ascii="Arial" w:hAnsi="Arial" w:cs="Arial"/>
                <w:sz w:val="20"/>
                <w:szCs w:val="20"/>
              </w:rPr>
              <w:t xml:space="preserve"> ambientes e superfícies de acordo com o modo e periodicidade recomendados por legislação sanitária vigente?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Manual de limpeza desinfecç</w:t>
            </w:r>
            <w:r w:rsidR="004F7CE7"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ão de superfícies, 2010, ANVISA, c/c item 5.6.1 da RDC ANVISA 171/2006</w:t>
            </w:r>
          </w:p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069" w:rsidRPr="0059596A" w:rsidTr="00BB4EE9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Os saneantes utilizados estão regularizados junto a ANVISA/MS?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5.6.2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F77F5D">
        <w:trPr>
          <w:trHeight w:val="69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9F40D5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lastRenderedPageBreak/>
              <w:t>Possui i</w:t>
            </w:r>
            <w:r w:rsidR="007B5069" w:rsidRPr="00AB6D37">
              <w:rPr>
                <w:rFonts w:ascii="Arial" w:hAnsi="Arial" w:cs="Arial"/>
                <w:sz w:val="20"/>
                <w:szCs w:val="20"/>
              </w:rPr>
              <w:t>luminação e ventilação compatíveis com o desenvolvimento das suas atividades?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Art. 38 RDC 063/11 ANVISA</w:t>
            </w:r>
          </w:p>
        </w:tc>
      </w:tr>
      <w:tr w:rsidR="0059596A" w:rsidRPr="0059596A" w:rsidTr="00612879">
        <w:trPr>
          <w:trHeight w:val="33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sala de recepção, registro e triagem das doadoras?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5.3.1.2 da RDC ANVISA 171/2006</w:t>
            </w:r>
          </w:p>
        </w:tc>
      </w:tr>
      <w:tr w:rsidR="0059596A" w:rsidRPr="0059596A" w:rsidTr="00612879">
        <w:trPr>
          <w:trHeight w:val="57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sala para ordenha?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5.3.1.2 da RDC ANVISA 171/2006</w:t>
            </w:r>
          </w:p>
        </w:tc>
      </w:tr>
      <w:tr w:rsidR="0059596A" w:rsidRPr="0059596A" w:rsidTr="00612879">
        <w:trPr>
          <w:trHeight w:val="4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vestiário de barreira?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5.3.1.2 da RDC ANVISA 171/2006</w:t>
            </w:r>
          </w:p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612879">
        <w:trPr>
          <w:trHeight w:val="3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Possui sala para processamento do leite humano?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5.3.1.2 da RDC ANVISA 171/2006</w:t>
            </w:r>
          </w:p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F77F5D">
        <w:trPr>
          <w:trHeight w:val="47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65041F" w:rsidP="009F40D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Dispõe de equipamento de congelamento exclusivo com compartimentos distintos e identificados</w:t>
            </w:r>
            <w:r w:rsidR="009F40D5"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37">
              <w:rPr>
                <w:rFonts w:ascii="Arial" w:hAnsi="Arial" w:cs="Arial"/>
                <w:sz w:val="20"/>
                <w:szCs w:val="20"/>
              </w:rPr>
              <w:t>para estocagem LHOC e LHOP</w:t>
            </w:r>
            <w:r w:rsidR="009F40D5" w:rsidRPr="00AB6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69" w:rsidRPr="00AB6D37" w:rsidRDefault="007B5069" w:rsidP="007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6.10.1 da RDC ANVISA 171/2006</w:t>
            </w:r>
          </w:p>
          <w:p w:rsidR="007B5069" w:rsidRPr="00AB6D37" w:rsidRDefault="007B5069" w:rsidP="007B50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7024F5">
        <w:trPr>
          <w:trHeight w:val="47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7024F5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Disponibiliza solução alcoólica para fricção </w:t>
            </w:r>
            <w:proofErr w:type="spellStart"/>
            <w:r w:rsidRPr="00AB6D37">
              <w:rPr>
                <w:rFonts w:ascii="Arial" w:hAnsi="Arial" w:cs="Arial"/>
                <w:sz w:val="20"/>
                <w:szCs w:val="20"/>
              </w:rPr>
              <w:t>antissépitca</w:t>
            </w:r>
            <w:proofErr w:type="spellEnd"/>
            <w:r w:rsidRPr="00AB6D37">
              <w:rPr>
                <w:rFonts w:ascii="Arial" w:hAnsi="Arial" w:cs="Arial"/>
                <w:sz w:val="20"/>
                <w:szCs w:val="20"/>
              </w:rPr>
              <w:t xml:space="preserve"> das mãos em pontos estratégicos definidos pela CCIRAS?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7024F5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Art. 5 RDC ANVISA 42/2010</w:t>
            </w:r>
          </w:p>
        </w:tc>
      </w:tr>
      <w:tr w:rsidR="0059596A" w:rsidRPr="0059596A" w:rsidTr="009F40D5">
        <w:trPr>
          <w:trHeight w:val="5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F" w:rsidRPr="00AB6D37" w:rsidRDefault="007024F5" w:rsidP="009F40D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Dispõe de lavatório e/ou pia para a higienização das mãos e antebraços dos profissionais e doadoras?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F5" w:rsidRPr="00AB6D37" w:rsidRDefault="007024F5" w:rsidP="007024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6.1.2 da RDC ANVISA 171/2006</w:t>
            </w:r>
          </w:p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596A" w:rsidRPr="0059596A" w:rsidTr="007024F5">
        <w:trPr>
          <w:trHeight w:val="862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Estes lavatórios/pias possuem dispensadores específicos e abastecid</w:t>
            </w:r>
            <w:r w:rsidR="007024F5" w:rsidRPr="00AB6D37">
              <w:rPr>
                <w:rFonts w:ascii="Arial" w:hAnsi="Arial" w:cs="Arial"/>
                <w:sz w:val="20"/>
                <w:szCs w:val="20"/>
              </w:rPr>
              <w:t xml:space="preserve">os com sabonete </w:t>
            </w:r>
            <w:proofErr w:type="spellStart"/>
            <w:r w:rsidR="007024F5" w:rsidRPr="00AB6D37">
              <w:rPr>
                <w:rFonts w:ascii="Arial" w:hAnsi="Arial" w:cs="Arial"/>
                <w:sz w:val="20"/>
                <w:szCs w:val="20"/>
              </w:rPr>
              <w:t>liquido</w:t>
            </w:r>
            <w:proofErr w:type="spellEnd"/>
            <w:r w:rsidR="007024F5" w:rsidRPr="00AB6D37">
              <w:rPr>
                <w:rFonts w:ascii="Arial" w:hAnsi="Arial" w:cs="Arial"/>
                <w:sz w:val="20"/>
                <w:szCs w:val="20"/>
              </w:rPr>
              <w:t xml:space="preserve"> neutro</w:t>
            </w:r>
            <w:r w:rsidRPr="00AB6D37">
              <w:rPr>
                <w:rFonts w:ascii="Arial" w:hAnsi="Arial" w:cs="Arial"/>
                <w:sz w:val="20"/>
                <w:szCs w:val="20"/>
              </w:rPr>
              <w:t>, papel toalha e lixeira com tampa acionada sem o uso das mãos?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B.4 RDC 50/02 ANVISA c/c 32.6.3 c/c NR 32 MTE</w:t>
            </w: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9F40D5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As t</w:t>
            </w:r>
            <w:r w:rsidR="0065041F" w:rsidRPr="00AB6D37">
              <w:rPr>
                <w:rFonts w:ascii="Arial" w:hAnsi="Arial" w:cs="Arial"/>
                <w:sz w:val="20"/>
                <w:szCs w:val="20"/>
              </w:rPr>
              <w:t xml:space="preserve">orneiras ou comandos </w:t>
            </w:r>
            <w:r w:rsidRPr="00AB6D37">
              <w:rPr>
                <w:rFonts w:ascii="Arial" w:hAnsi="Arial" w:cs="Arial"/>
                <w:sz w:val="20"/>
                <w:szCs w:val="20"/>
              </w:rPr>
              <w:t>são do tipo que dispensa</w:t>
            </w:r>
            <w:r w:rsidR="0065041F" w:rsidRPr="00AB6D37">
              <w:rPr>
                <w:rFonts w:ascii="Arial" w:hAnsi="Arial" w:cs="Arial"/>
                <w:sz w:val="20"/>
                <w:szCs w:val="20"/>
              </w:rPr>
              <w:t>m o contato das mãos quando do fechamento da água?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41F" w:rsidRPr="00AB6D37" w:rsidRDefault="0065041F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041F" w:rsidRPr="00AB6D37" w:rsidRDefault="0065041F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B.4 RDC 50/02 ANVISA</w:t>
            </w:r>
          </w:p>
        </w:tc>
      </w:tr>
      <w:tr w:rsidR="0059596A" w:rsidRPr="0059596A" w:rsidTr="00325540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79" w:rsidRPr="00AB6D37" w:rsidRDefault="00612879" w:rsidP="006128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sz w:val="20"/>
                <w:szCs w:val="20"/>
              </w:rPr>
              <w:t>GESTÃO DE DOCUMENTOS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79" w:rsidRPr="00AB6D37" w:rsidRDefault="00612879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79" w:rsidRPr="00AB6D37" w:rsidRDefault="00612879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79" w:rsidRPr="00AB6D37" w:rsidRDefault="00612879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79" w:rsidRPr="00AB6D37" w:rsidRDefault="00612879" w:rsidP="00650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879" w:rsidRPr="00AB6D37" w:rsidRDefault="00612879" w:rsidP="006504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Parecer emitido pela VISA da aprovação do projeto arquitetônico do BLH?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Art. 2º da RDC 171/2006 ANVISA</w:t>
            </w: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Documento definindo a estrutura organizacional, descrição dos cargos e funções de pessoal, definição da qualificação e responsabilidades?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5.2.1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E24E4D" w:rsidP="00E24E4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Comprovantes</w:t>
            </w:r>
            <w:r w:rsidR="00612879" w:rsidRPr="00AB6D37">
              <w:rPr>
                <w:rFonts w:ascii="Arial" w:hAnsi="Arial" w:cs="Arial"/>
                <w:sz w:val="20"/>
                <w:szCs w:val="20"/>
              </w:rPr>
              <w:t xml:space="preserve"> de formação e qualificação de</w:t>
            </w:r>
            <w:r w:rsidRPr="00AB6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879" w:rsidRPr="00AB6D37">
              <w:rPr>
                <w:rFonts w:ascii="Arial" w:hAnsi="Arial" w:cs="Arial"/>
                <w:sz w:val="20"/>
                <w:szCs w:val="20"/>
              </w:rPr>
              <w:t>seus profissionais?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5.2.3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Registro das capacitações realizadas como parte do programa de educação permanente?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5.2.4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 xml:space="preserve">Certificado de treinamento </w:t>
            </w:r>
            <w:r w:rsidR="00E24E4D" w:rsidRPr="00AB6D37">
              <w:rPr>
                <w:rFonts w:ascii="Arial" w:hAnsi="Arial" w:cs="Arial"/>
                <w:sz w:val="20"/>
                <w:szCs w:val="20"/>
              </w:rPr>
              <w:t xml:space="preserve">específico </w:t>
            </w:r>
            <w:proofErr w:type="gramStart"/>
            <w:r w:rsidR="0061243F" w:rsidRPr="00AB6D37">
              <w:rPr>
                <w:rFonts w:ascii="Arial" w:hAnsi="Arial" w:cs="Arial"/>
                <w:sz w:val="20"/>
                <w:szCs w:val="20"/>
              </w:rPr>
              <w:t xml:space="preserve">do  </w:t>
            </w:r>
            <w:r w:rsidRPr="00AB6D37">
              <w:rPr>
                <w:rFonts w:ascii="Arial" w:hAnsi="Arial" w:cs="Arial"/>
                <w:sz w:val="20"/>
                <w:szCs w:val="20"/>
              </w:rPr>
              <w:t>profissional</w:t>
            </w:r>
            <w:proofErr w:type="gramEnd"/>
            <w:r w:rsidRPr="00AB6D37">
              <w:rPr>
                <w:rFonts w:ascii="Arial" w:hAnsi="Arial" w:cs="Arial"/>
                <w:sz w:val="20"/>
                <w:szCs w:val="20"/>
              </w:rPr>
              <w:t xml:space="preserve"> responsável pela execução das análises físico-químicas, organolépticas e microbiológicas do leite humano, reconhecido pela Rede Brasileira de Bancos de Leite Humano?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Item 7.4 da RDC ANVISA 171/2006</w:t>
            </w:r>
          </w:p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Registro de monitoramento dos indicadores abaixo descritos?</w:t>
            </w:r>
          </w:p>
          <w:p w:rsidR="00612879" w:rsidRPr="00AB6D37" w:rsidRDefault="00612879" w:rsidP="00612879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879" w:rsidRPr="00AB6D37" w:rsidRDefault="00612879" w:rsidP="00612879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a) Índice de positividade para microrganismos do Grupo Coliforme;</w:t>
            </w:r>
          </w:p>
          <w:p w:rsidR="00612879" w:rsidRPr="00AB6D37" w:rsidRDefault="00612879" w:rsidP="009647B9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b) Índice de não conformidad</w:t>
            </w:r>
            <w:r w:rsidR="009647B9" w:rsidRPr="00AB6D37">
              <w:rPr>
                <w:rFonts w:ascii="Arial" w:hAnsi="Arial" w:cs="Arial"/>
                <w:sz w:val="20"/>
                <w:szCs w:val="20"/>
              </w:rPr>
              <w:t xml:space="preserve">e para acidez </w:t>
            </w:r>
            <w:proofErr w:type="spellStart"/>
            <w:r w:rsidR="009647B9" w:rsidRPr="00AB6D37">
              <w:rPr>
                <w:rFonts w:ascii="Arial" w:hAnsi="Arial" w:cs="Arial"/>
                <w:sz w:val="20"/>
                <w:szCs w:val="20"/>
              </w:rPr>
              <w:t>Dornic</w:t>
            </w:r>
            <w:proofErr w:type="spellEnd"/>
            <w:r w:rsidR="009647B9" w:rsidRPr="00AB6D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sz w:val="20"/>
                <w:szCs w:val="20"/>
              </w:rPr>
              <w:t>Item 8.1 da RDC ANVISA 171/2006</w:t>
            </w:r>
          </w:p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596A" w:rsidRPr="0059596A" w:rsidTr="00612879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Registro dos testes de controle de qualidade do LHOC e do LHOP?</w:t>
            </w:r>
          </w:p>
          <w:p w:rsidR="00612879" w:rsidRPr="00AB6D37" w:rsidRDefault="00612879" w:rsidP="00612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79" w:rsidRPr="00AB6D37" w:rsidRDefault="00612879" w:rsidP="006128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</w:rPr>
              <w:t>Itens 7.2 e 7.3 da RDC ANVISA 171/2006</w:t>
            </w:r>
          </w:p>
          <w:p w:rsidR="00612879" w:rsidRPr="00AB6D37" w:rsidRDefault="00612879" w:rsidP="006128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E4D" w:rsidRPr="0059596A" w:rsidTr="00E24E4D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D" w:rsidRPr="00AB6D37" w:rsidRDefault="00E24E4D" w:rsidP="00E24E4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37">
              <w:rPr>
                <w:rFonts w:ascii="Arial" w:hAnsi="Arial" w:cs="Arial"/>
                <w:sz w:val="20"/>
                <w:szCs w:val="20"/>
              </w:rPr>
              <w:t>Registro das manutenções preventivas e corretivas realizadas nos equipamentos e instrumentos?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D" w:rsidRPr="00AB6D37" w:rsidRDefault="00E24E4D" w:rsidP="00E2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D" w:rsidRPr="00AB6D37" w:rsidRDefault="00E24E4D" w:rsidP="00E2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D" w:rsidRPr="00AB6D37" w:rsidRDefault="00E24E4D" w:rsidP="00E2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D" w:rsidRPr="00AB6D37" w:rsidRDefault="00E24E4D" w:rsidP="00E2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4D" w:rsidRPr="00AB6D37" w:rsidRDefault="00E24E4D" w:rsidP="00E24E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Item 5.4.1 do </w:t>
            </w:r>
            <w:proofErr w:type="spellStart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Anexo</w:t>
            </w:r>
            <w:proofErr w:type="spellEnd"/>
            <w:r w:rsidRPr="00AB6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 RDC ANVISA 171/2006</w:t>
            </w:r>
          </w:p>
        </w:tc>
      </w:tr>
    </w:tbl>
    <w:p w:rsidR="00150FD6" w:rsidRPr="00245A38" w:rsidRDefault="00150FD6" w:rsidP="00150FD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150FD6" w:rsidRPr="00245A38" w:rsidRDefault="00150FD6" w:rsidP="00150FD6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357CA" w:rsidRPr="00E357CA" w:rsidRDefault="00150FD6" w:rsidP="00150FD6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150FD6" w:rsidRDefault="00150FD6" w:rsidP="00150FD6">
      <w:pPr>
        <w:jc w:val="center"/>
        <w:rPr>
          <w:rFonts w:ascii="Arial" w:hAnsi="Arial" w:cs="Arial"/>
          <w:b/>
          <w:sz w:val="20"/>
          <w:szCs w:val="20"/>
        </w:rPr>
      </w:pPr>
    </w:p>
    <w:p w:rsidR="00150FD6" w:rsidRDefault="00150FD6" w:rsidP="00150FD6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150FD6" w:rsidRDefault="00150FD6" w:rsidP="00150FD6">
      <w:pPr>
        <w:jc w:val="center"/>
        <w:rPr>
          <w:rFonts w:ascii="Arial" w:hAnsi="Arial" w:cs="Arial"/>
          <w:b/>
          <w:sz w:val="20"/>
          <w:szCs w:val="20"/>
        </w:rPr>
      </w:pPr>
    </w:p>
    <w:p w:rsidR="00150FD6" w:rsidRPr="00637B5E" w:rsidRDefault="00150FD6" w:rsidP="00150FD6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150FD6" w:rsidRPr="00637B5E" w:rsidRDefault="00150FD6" w:rsidP="00150F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150FD6" w:rsidRPr="00637B5E" w:rsidTr="00150FD6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D6" w:rsidRPr="00637B5E" w:rsidTr="00150FD6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D6" w:rsidRPr="00637B5E" w:rsidTr="00150FD6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D6" w:rsidRPr="00637B5E" w:rsidTr="00150FD6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150FD6" w:rsidRPr="00637B5E" w:rsidRDefault="00150FD6" w:rsidP="00150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FD6" w:rsidRDefault="00150FD6" w:rsidP="00150FD6">
      <w:pPr>
        <w:rPr>
          <w:rFonts w:ascii="Arial" w:hAnsi="Arial" w:cs="Arial"/>
          <w:sz w:val="20"/>
          <w:szCs w:val="20"/>
          <w:u w:val="single"/>
        </w:rPr>
      </w:pPr>
    </w:p>
    <w:p w:rsidR="00AB6D37" w:rsidRDefault="00AB6D37" w:rsidP="00150FD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50FD6" w:rsidRDefault="00150FD6" w:rsidP="00150FD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D43B8">
        <w:rPr>
          <w:rFonts w:ascii="Arial" w:hAnsi="Arial" w:cs="Arial"/>
          <w:sz w:val="20"/>
          <w:szCs w:val="20"/>
          <w:u w:val="single"/>
        </w:rPr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150FD6" w:rsidRDefault="00150FD6" w:rsidP="00150FD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50FD6" w:rsidRPr="00FD0E0D" w:rsidRDefault="00150FD6" w:rsidP="00150FD6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150FD6" w:rsidRDefault="00150FD6" w:rsidP="00150FD6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0FD6" w:rsidTr="00150FD6">
        <w:tc>
          <w:tcPr>
            <w:tcW w:w="10760" w:type="dxa"/>
          </w:tcPr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0FD6" w:rsidRPr="00042B0A" w:rsidRDefault="00150FD6" w:rsidP="00150F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50FD6" w:rsidRPr="00245A38" w:rsidRDefault="00150FD6" w:rsidP="00150F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150FD6" w:rsidRPr="008346AF" w:rsidTr="00150FD6"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150FD6" w:rsidRPr="008346AF" w:rsidTr="00150FD6"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150FD6" w:rsidTr="00150FD6"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FD6" w:rsidTr="00150FD6"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lastRenderedPageBreak/>
              <w:t>Fiscais responsáveis pela vistoria:</w:t>
            </w:r>
          </w:p>
        </w:tc>
        <w:tc>
          <w:tcPr>
            <w:tcW w:w="0" w:type="auto"/>
          </w:tcPr>
          <w:p w:rsidR="00150FD6" w:rsidRPr="00637B5E" w:rsidRDefault="00150FD6" w:rsidP="00150FD6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150FD6" w:rsidTr="00150FD6"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0FD6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150FD6" w:rsidRPr="00637B5E" w:rsidRDefault="00150FD6" w:rsidP="00150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3B03" w:rsidRDefault="00DB3B03" w:rsidP="00DB3B03">
      <w:pPr>
        <w:rPr>
          <w:rFonts w:ascii="Arial" w:hAnsi="Arial" w:cs="Arial"/>
          <w:sz w:val="20"/>
          <w:szCs w:val="20"/>
          <w:u w:val="single"/>
        </w:rPr>
      </w:pPr>
    </w:p>
    <w:sectPr w:rsidR="00DB3B03" w:rsidSect="002E37EE"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C7C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760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01FD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647A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421FB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25CCA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308CC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29FF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92583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55C6E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62E73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6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16B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07155B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6B4F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A2779"/>
    <w:multiLevelType w:val="hybridMultilevel"/>
    <w:tmpl w:val="13A61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2"/>
  </w:num>
  <w:num w:numId="5">
    <w:abstractNumId w:val="9"/>
  </w:num>
  <w:num w:numId="6">
    <w:abstractNumId w:val="15"/>
  </w:num>
  <w:num w:numId="7">
    <w:abstractNumId w:val="24"/>
  </w:num>
  <w:num w:numId="8">
    <w:abstractNumId w:val="23"/>
  </w:num>
  <w:num w:numId="9">
    <w:abstractNumId w:val="13"/>
  </w:num>
  <w:num w:numId="10">
    <w:abstractNumId w:val="3"/>
  </w:num>
  <w:num w:numId="11">
    <w:abstractNumId w:val="2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 w:numId="20">
    <w:abstractNumId w:val="1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7926"/>
    <w:rsid w:val="00030CFF"/>
    <w:rsid w:val="000623A7"/>
    <w:rsid w:val="00064620"/>
    <w:rsid w:val="000716AE"/>
    <w:rsid w:val="000724BD"/>
    <w:rsid w:val="000766B0"/>
    <w:rsid w:val="00085FE7"/>
    <w:rsid w:val="000A18CB"/>
    <w:rsid w:val="000A2102"/>
    <w:rsid w:val="000A740B"/>
    <w:rsid w:val="000D1622"/>
    <w:rsid w:val="000D1BDC"/>
    <w:rsid w:val="000D32F6"/>
    <w:rsid w:val="000D3FE6"/>
    <w:rsid w:val="000D4223"/>
    <w:rsid w:val="000D6585"/>
    <w:rsid w:val="000D6A3D"/>
    <w:rsid w:val="000E3FBC"/>
    <w:rsid w:val="000F5AAF"/>
    <w:rsid w:val="0010219E"/>
    <w:rsid w:val="00106F63"/>
    <w:rsid w:val="00116392"/>
    <w:rsid w:val="00117F10"/>
    <w:rsid w:val="00121615"/>
    <w:rsid w:val="00124687"/>
    <w:rsid w:val="001259F0"/>
    <w:rsid w:val="0012760E"/>
    <w:rsid w:val="00131826"/>
    <w:rsid w:val="0014385A"/>
    <w:rsid w:val="00150FD6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4D91"/>
    <w:rsid w:val="00217FDB"/>
    <w:rsid w:val="00225333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68BE"/>
    <w:rsid w:val="002D3B1F"/>
    <w:rsid w:val="002D7F31"/>
    <w:rsid w:val="002E37EE"/>
    <w:rsid w:val="002F43B7"/>
    <w:rsid w:val="00306B3E"/>
    <w:rsid w:val="00312C03"/>
    <w:rsid w:val="00315B8C"/>
    <w:rsid w:val="00325540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09D"/>
    <w:rsid w:val="003C22D6"/>
    <w:rsid w:val="003D0457"/>
    <w:rsid w:val="003D43B8"/>
    <w:rsid w:val="003D7535"/>
    <w:rsid w:val="003E63B6"/>
    <w:rsid w:val="004016DE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0BE7"/>
    <w:rsid w:val="004B11E6"/>
    <w:rsid w:val="004C0006"/>
    <w:rsid w:val="004C0758"/>
    <w:rsid w:val="004C501F"/>
    <w:rsid w:val="004C7E60"/>
    <w:rsid w:val="004D7F83"/>
    <w:rsid w:val="004E1933"/>
    <w:rsid w:val="004F13FC"/>
    <w:rsid w:val="004F3217"/>
    <w:rsid w:val="004F329A"/>
    <w:rsid w:val="004F4338"/>
    <w:rsid w:val="004F7CE7"/>
    <w:rsid w:val="00534E9E"/>
    <w:rsid w:val="005421EB"/>
    <w:rsid w:val="005428DB"/>
    <w:rsid w:val="00555FC8"/>
    <w:rsid w:val="00562547"/>
    <w:rsid w:val="00565A6C"/>
    <w:rsid w:val="00566304"/>
    <w:rsid w:val="00583FB9"/>
    <w:rsid w:val="00593EED"/>
    <w:rsid w:val="0059596A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94B"/>
    <w:rsid w:val="00601DB2"/>
    <w:rsid w:val="006072A3"/>
    <w:rsid w:val="006072C1"/>
    <w:rsid w:val="0061243F"/>
    <w:rsid w:val="00612879"/>
    <w:rsid w:val="00635114"/>
    <w:rsid w:val="00635875"/>
    <w:rsid w:val="006368F1"/>
    <w:rsid w:val="00646A13"/>
    <w:rsid w:val="00646C6C"/>
    <w:rsid w:val="0065041F"/>
    <w:rsid w:val="00654081"/>
    <w:rsid w:val="006551D3"/>
    <w:rsid w:val="00657611"/>
    <w:rsid w:val="00663B20"/>
    <w:rsid w:val="00664F5C"/>
    <w:rsid w:val="0066737B"/>
    <w:rsid w:val="0067674C"/>
    <w:rsid w:val="00682EA7"/>
    <w:rsid w:val="00686E0F"/>
    <w:rsid w:val="006A22E4"/>
    <w:rsid w:val="006A42A5"/>
    <w:rsid w:val="006B23A5"/>
    <w:rsid w:val="006C16BF"/>
    <w:rsid w:val="006C2F24"/>
    <w:rsid w:val="006C3999"/>
    <w:rsid w:val="006C7349"/>
    <w:rsid w:val="006D2178"/>
    <w:rsid w:val="006F13C0"/>
    <w:rsid w:val="006F6DF7"/>
    <w:rsid w:val="007024F5"/>
    <w:rsid w:val="00721723"/>
    <w:rsid w:val="00721B26"/>
    <w:rsid w:val="007266AD"/>
    <w:rsid w:val="00730E82"/>
    <w:rsid w:val="007314F3"/>
    <w:rsid w:val="007315CE"/>
    <w:rsid w:val="00731FE1"/>
    <w:rsid w:val="00734861"/>
    <w:rsid w:val="007405E7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B5069"/>
    <w:rsid w:val="007C58A1"/>
    <w:rsid w:val="007D494A"/>
    <w:rsid w:val="007E2695"/>
    <w:rsid w:val="007F2A59"/>
    <w:rsid w:val="007F341D"/>
    <w:rsid w:val="007F35BE"/>
    <w:rsid w:val="008079D0"/>
    <w:rsid w:val="008171AB"/>
    <w:rsid w:val="0083608A"/>
    <w:rsid w:val="00836FFF"/>
    <w:rsid w:val="00863734"/>
    <w:rsid w:val="00863A36"/>
    <w:rsid w:val="00876641"/>
    <w:rsid w:val="008775CE"/>
    <w:rsid w:val="0088732F"/>
    <w:rsid w:val="008B18C2"/>
    <w:rsid w:val="008B1F1B"/>
    <w:rsid w:val="008B5459"/>
    <w:rsid w:val="008B71A9"/>
    <w:rsid w:val="008C095E"/>
    <w:rsid w:val="008C7171"/>
    <w:rsid w:val="008D5FFF"/>
    <w:rsid w:val="008D6094"/>
    <w:rsid w:val="008F7E95"/>
    <w:rsid w:val="009011F4"/>
    <w:rsid w:val="00904B0A"/>
    <w:rsid w:val="00911689"/>
    <w:rsid w:val="00911882"/>
    <w:rsid w:val="0091238B"/>
    <w:rsid w:val="00921599"/>
    <w:rsid w:val="00925EF2"/>
    <w:rsid w:val="009273CE"/>
    <w:rsid w:val="00940CEC"/>
    <w:rsid w:val="00942A26"/>
    <w:rsid w:val="0095040B"/>
    <w:rsid w:val="00950A9D"/>
    <w:rsid w:val="00953A45"/>
    <w:rsid w:val="00955F5B"/>
    <w:rsid w:val="009628EC"/>
    <w:rsid w:val="009647B9"/>
    <w:rsid w:val="009678E3"/>
    <w:rsid w:val="00967CD7"/>
    <w:rsid w:val="00967DA8"/>
    <w:rsid w:val="0097028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DC2"/>
    <w:rsid w:val="009F40D5"/>
    <w:rsid w:val="009F5BD6"/>
    <w:rsid w:val="009F6D5A"/>
    <w:rsid w:val="00A00C0E"/>
    <w:rsid w:val="00A013D6"/>
    <w:rsid w:val="00A0299F"/>
    <w:rsid w:val="00A062A2"/>
    <w:rsid w:val="00A154E8"/>
    <w:rsid w:val="00A27751"/>
    <w:rsid w:val="00A31956"/>
    <w:rsid w:val="00A36F03"/>
    <w:rsid w:val="00A71F46"/>
    <w:rsid w:val="00A777A0"/>
    <w:rsid w:val="00A80F3E"/>
    <w:rsid w:val="00A82C45"/>
    <w:rsid w:val="00A83283"/>
    <w:rsid w:val="00A8730D"/>
    <w:rsid w:val="00AA430D"/>
    <w:rsid w:val="00AA520C"/>
    <w:rsid w:val="00AA7323"/>
    <w:rsid w:val="00AB6D37"/>
    <w:rsid w:val="00AC0B11"/>
    <w:rsid w:val="00AC1F13"/>
    <w:rsid w:val="00AC2653"/>
    <w:rsid w:val="00AC2CCE"/>
    <w:rsid w:val="00AD5C7E"/>
    <w:rsid w:val="00AE5126"/>
    <w:rsid w:val="00AF051C"/>
    <w:rsid w:val="00AF07D3"/>
    <w:rsid w:val="00AF2D12"/>
    <w:rsid w:val="00AF639E"/>
    <w:rsid w:val="00B127ED"/>
    <w:rsid w:val="00B332E9"/>
    <w:rsid w:val="00B34043"/>
    <w:rsid w:val="00B343BA"/>
    <w:rsid w:val="00B40E52"/>
    <w:rsid w:val="00B41757"/>
    <w:rsid w:val="00B4518B"/>
    <w:rsid w:val="00B52E64"/>
    <w:rsid w:val="00B55B80"/>
    <w:rsid w:val="00B5699D"/>
    <w:rsid w:val="00B60877"/>
    <w:rsid w:val="00B70D87"/>
    <w:rsid w:val="00B718A5"/>
    <w:rsid w:val="00B84589"/>
    <w:rsid w:val="00B8548E"/>
    <w:rsid w:val="00B92431"/>
    <w:rsid w:val="00B929FB"/>
    <w:rsid w:val="00BA0179"/>
    <w:rsid w:val="00BA0606"/>
    <w:rsid w:val="00BB00A1"/>
    <w:rsid w:val="00BB0D46"/>
    <w:rsid w:val="00BB31E0"/>
    <w:rsid w:val="00BB4EE9"/>
    <w:rsid w:val="00BC2CF0"/>
    <w:rsid w:val="00BC4ED8"/>
    <w:rsid w:val="00BC76A1"/>
    <w:rsid w:val="00BC7823"/>
    <w:rsid w:val="00BD0ECF"/>
    <w:rsid w:val="00BD7D7D"/>
    <w:rsid w:val="00BF198C"/>
    <w:rsid w:val="00C032DA"/>
    <w:rsid w:val="00C06CEF"/>
    <w:rsid w:val="00C115E1"/>
    <w:rsid w:val="00C119A0"/>
    <w:rsid w:val="00C1711C"/>
    <w:rsid w:val="00C24C27"/>
    <w:rsid w:val="00C26F4C"/>
    <w:rsid w:val="00C30E00"/>
    <w:rsid w:val="00C32B05"/>
    <w:rsid w:val="00C33ABA"/>
    <w:rsid w:val="00C44F58"/>
    <w:rsid w:val="00C5168D"/>
    <w:rsid w:val="00C54275"/>
    <w:rsid w:val="00C70C69"/>
    <w:rsid w:val="00C7125E"/>
    <w:rsid w:val="00C774C5"/>
    <w:rsid w:val="00C8130D"/>
    <w:rsid w:val="00C91196"/>
    <w:rsid w:val="00C97E6E"/>
    <w:rsid w:val="00CB0ECE"/>
    <w:rsid w:val="00CB2205"/>
    <w:rsid w:val="00CD203B"/>
    <w:rsid w:val="00CD2613"/>
    <w:rsid w:val="00CD6BC7"/>
    <w:rsid w:val="00CE460E"/>
    <w:rsid w:val="00CE4824"/>
    <w:rsid w:val="00CE7D5B"/>
    <w:rsid w:val="00D01308"/>
    <w:rsid w:val="00D05A18"/>
    <w:rsid w:val="00D066A7"/>
    <w:rsid w:val="00D31715"/>
    <w:rsid w:val="00D32053"/>
    <w:rsid w:val="00D4061C"/>
    <w:rsid w:val="00D45A20"/>
    <w:rsid w:val="00D54136"/>
    <w:rsid w:val="00D5677D"/>
    <w:rsid w:val="00D60281"/>
    <w:rsid w:val="00D7238E"/>
    <w:rsid w:val="00D80CC0"/>
    <w:rsid w:val="00D84326"/>
    <w:rsid w:val="00D877D2"/>
    <w:rsid w:val="00D87BD1"/>
    <w:rsid w:val="00DB17AD"/>
    <w:rsid w:val="00DB3822"/>
    <w:rsid w:val="00DB3B03"/>
    <w:rsid w:val="00DB63FA"/>
    <w:rsid w:val="00DB6810"/>
    <w:rsid w:val="00DB7E46"/>
    <w:rsid w:val="00DC11E8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FE0"/>
    <w:rsid w:val="00E24E4D"/>
    <w:rsid w:val="00E25DD6"/>
    <w:rsid w:val="00E31A79"/>
    <w:rsid w:val="00E357CA"/>
    <w:rsid w:val="00E41531"/>
    <w:rsid w:val="00E4590B"/>
    <w:rsid w:val="00E57452"/>
    <w:rsid w:val="00E74E62"/>
    <w:rsid w:val="00E867FD"/>
    <w:rsid w:val="00E93ECE"/>
    <w:rsid w:val="00E96820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EF5D01"/>
    <w:rsid w:val="00F00E77"/>
    <w:rsid w:val="00F03AEA"/>
    <w:rsid w:val="00F062C5"/>
    <w:rsid w:val="00F074DC"/>
    <w:rsid w:val="00F10D5C"/>
    <w:rsid w:val="00F11124"/>
    <w:rsid w:val="00F16E2F"/>
    <w:rsid w:val="00F17141"/>
    <w:rsid w:val="00F24862"/>
    <w:rsid w:val="00F24DF9"/>
    <w:rsid w:val="00F25E91"/>
    <w:rsid w:val="00F331D6"/>
    <w:rsid w:val="00F42E9E"/>
    <w:rsid w:val="00F479D5"/>
    <w:rsid w:val="00F52527"/>
    <w:rsid w:val="00F679AE"/>
    <w:rsid w:val="00F77F5D"/>
    <w:rsid w:val="00F81EC7"/>
    <w:rsid w:val="00F864D9"/>
    <w:rsid w:val="00FA57A9"/>
    <w:rsid w:val="00FA67CB"/>
    <w:rsid w:val="00FC3CE4"/>
    <w:rsid w:val="00FD0E0D"/>
    <w:rsid w:val="00FD55D9"/>
    <w:rsid w:val="00FE584C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36FE0D-FBCB-434E-950D-2310F57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E74E62"/>
    <w:pPr>
      <w:ind w:left="720"/>
    </w:pPr>
  </w:style>
  <w:style w:type="character" w:styleId="Refdecomentrio">
    <w:name w:val="annotation reference"/>
    <w:basedOn w:val="Fontepargpadro"/>
    <w:semiHidden/>
    <w:rsid w:val="00F03AEA"/>
    <w:rPr>
      <w:sz w:val="16"/>
      <w:szCs w:val="16"/>
    </w:rPr>
  </w:style>
  <w:style w:type="paragraph" w:styleId="Textodecomentrio">
    <w:name w:val="annotation text"/>
    <w:basedOn w:val="Normal"/>
    <w:semiHidden/>
    <w:rsid w:val="00F03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03AEA"/>
    <w:rPr>
      <w:b/>
      <w:bCs/>
    </w:rPr>
  </w:style>
  <w:style w:type="paragraph" w:styleId="Textodebalo">
    <w:name w:val="Balloon Text"/>
    <w:basedOn w:val="Normal"/>
    <w:semiHidden/>
    <w:rsid w:val="00F03A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1829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creator>Administrador</dc:creator>
  <cp:lastModifiedBy>Juliana Berka Rodrigues Porfiro</cp:lastModifiedBy>
  <cp:revision>8</cp:revision>
  <cp:lastPrinted>2008-11-20T17:39:00Z</cp:lastPrinted>
  <dcterms:created xsi:type="dcterms:W3CDTF">2021-10-05T14:44:00Z</dcterms:created>
  <dcterms:modified xsi:type="dcterms:W3CDTF">2021-10-05T16:51:00Z</dcterms:modified>
</cp:coreProperties>
</file>