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B0557A" w:rsidRDefault="0074345F" w:rsidP="00B0557A">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B0557A">
        <w:rPr>
          <w:rFonts w:ascii="Arial" w:hAnsi="Arial" w:cs="Arial"/>
          <w:b/>
          <w:bCs/>
          <w:sz w:val="20"/>
          <w:szCs w:val="20"/>
          <w:u w:val="single"/>
        </w:rPr>
        <w:t>CLÍNICA DE ODONTOLOGIA</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B0557A">
        <w:rPr>
          <w:rFonts w:ascii="Arial" w:hAnsi="Arial" w:cs="Arial"/>
          <w:b/>
          <w:sz w:val="20"/>
          <w:szCs w:val="20"/>
        </w:rPr>
        <w:t>5204</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568"/>
        <w:gridCol w:w="3549"/>
      </w:tblGrid>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B0557A" w:rsidRDefault="00B0557A">
            <w:pPr>
              <w:jc w:val="center"/>
              <w:rPr>
                <w:rFonts w:ascii="Arial" w:hAnsi="Arial" w:cs="Arial"/>
                <w:b/>
                <w:bCs/>
                <w:sz w:val="20"/>
                <w:szCs w:val="20"/>
              </w:rPr>
            </w:pPr>
            <w:r>
              <w:rPr>
                <w:rFonts w:ascii="Arial" w:hAnsi="Arial" w:cs="Arial"/>
                <w:b/>
                <w:bCs/>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b/>
                <w:bCs/>
                <w:sz w:val="20"/>
                <w:szCs w:val="20"/>
              </w:rPr>
            </w:pPr>
            <w:r>
              <w:rPr>
                <w:rFonts w:ascii="Arial" w:hAnsi="Arial" w:cs="Arial"/>
                <w:b/>
                <w:bCs/>
                <w:sz w:val="20"/>
                <w:szCs w:val="20"/>
              </w:rPr>
              <w:t>ENQUADRAMENTO LEGAL</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iCs/>
                <w:sz w:val="20"/>
                <w:szCs w:val="20"/>
                <w:lang w:eastAsia="pt-BR"/>
              </w:rPr>
            </w:pPr>
            <w:r>
              <w:rPr>
                <w:rFonts w:ascii="Arial" w:hAnsi="Arial" w:cs="Arial"/>
                <w:sz w:val="20"/>
                <w:szCs w:val="20"/>
                <w:lang w:eastAsia="pt-BR"/>
              </w:rPr>
              <w:t xml:space="preserve">Possui lavatório exclusivo para lavagem das mãos com sistema de fechamento da água sem contato direto das mãos? </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RDC 50/02 Item b.4 c/c Portaria 485/05 – NR32 item 32.2.4.3</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both"/>
              <w:rPr>
                <w:rFonts w:ascii="Arial" w:hAnsi="Arial" w:cs="Arial"/>
                <w:sz w:val="20"/>
                <w:szCs w:val="20"/>
              </w:rPr>
            </w:pPr>
            <w:r>
              <w:rPr>
                <w:rFonts w:ascii="Arial" w:hAnsi="Arial" w:cs="Arial"/>
                <w:sz w:val="20"/>
                <w:szCs w:val="20"/>
              </w:rPr>
              <w:t>Possui toalhas descartáveis e sabonete líquido para higienização das mãos?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RDC 50/02 Item b.4</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paredes ou divisórias com acabamento liso, cor clara, de material lavável e que permita desinfecção?</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 xml:space="preserve">RDC 50/02 </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Realiza limpeza e desinfecção do equipo e mobiliário a cada troca de paciente?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lang w:eastAsia="pt-BR"/>
              </w:rPr>
            </w:pPr>
            <w:r>
              <w:rPr>
                <w:rFonts w:ascii="Arial" w:hAnsi="Arial" w:cs="Arial"/>
                <w:sz w:val="20"/>
                <w:szCs w:val="20"/>
                <w:lang w:eastAsia="pt-BR"/>
              </w:rPr>
              <w:t>Norma Técnica de Processamento de Artigos e Superfícies em Estabelecimentos de Saúde MS/94</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Utiliza equipo e mobiliário em bom estado, limpos e conservados?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lang w:val="en-US"/>
              </w:rPr>
            </w:pPr>
            <w:r>
              <w:rPr>
                <w:rFonts w:ascii="Arial" w:hAnsi="Arial" w:cs="Arial"/>
                <w:bCs/>
                <w:sz w:val="20"/>
                <w:szCs w:val="20"/>
                <w:lang w:val="en-US"/>
              </w:rPr>
              <w:t>LCM 239/06 Art. 66 C/C</w:t>
            </w:r>
            <w:r>
              <w:rPr>
                <w:rFonts w:ascii="Arial" w:hAnsi="Arial" w:cs="Arial"/>
                <w:sz w:val="20"/>
                <w:szCs w:val="20"/>
                <w:lang w:val="en-US"/>
              </w:rPr>
              <w:t xml:space="preserve">                       RDC 50/02</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jc w:val="both"/>
              <w:rPr>
                <w:rFonts w:ascii="Arial" w:hAnsi="Arial" w:cs="Arial"/>
                <w:sz w:val="20"/>
                <w:szCs w:val="20"/>
              </w:rPr>
            </w:pPr>
            <w:r>
              <w:rPr>
                <w:rFonts w:ascii="Arial" w:hAnsi="Arial" w:cs="Arial"/>
                <w:sz w:val="20"/>
                <w:szCs w:val="20"/>
              </w:rPr>
              <w:t>As brocas e as pontas de ultrassom são esterilizadas?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lang w:eastAsia="pt-BR"/>
              </w:rPr>
              <w:t>Norma Técnica de Processamento de Artigos e Superfícies em Estabelecimentos de Saúde MS/94</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r>
              <w:rPr>
                <w:rFonts w:ascii="Arial" w:hAnsi="Arial" w:cs="Arial"/>
                <w:sz w:val="20"/>
                <w:szCs w:val="20"/>
              </w:rPr>
              <w:t>Não reaproveita materiais de uso único/descartáveis?</w:t>
            </w:r>
          </w:p>
          <w:p w:rsidR="00B0557A" w:rsidRDefault="00B0557A">
            <w:pPr>
              <w:jc w:val="both"/>
              <w:rPr>
                <w:rFonts w:ascii="Arial" w:hAnsi="Arial" w:cs="Arial"/>
                <w:sz w:val="20"/>
                <w:szCs w:val="20"/>
              </w:rPr>
            </w:pPr>
          </w:p>
          <w:p w:rsidR="00B0557A" w:rsidRDefault="00B0557A">
            <w:pPr>
              <w:jc w:val="both"/>
              <w:rPr>
                <w:rFonts w:ascii="Arial" w:hAnsi="Arial" w:cs="Arial"/>
                <w:sz w:val="20"/>
                <w:szCs w:val="20"/>
              </w:rPr>
            </w:pPr>
            <w:r>
              <w:rPr>
                <w:rFonts w:ascii="Arial" w:hAnsi="Arial" w:cs="Arial"/>
                <w:sz w:val="20"/>
                <w:szCs w:val="20"/>
              </w:rPr>
              <w:t>Ex. aventais descartáveis, dique de borracha, luvas, sugadores plásticos, embalagens descartáveis para esterilização, fios de sutura, lâminas descartáveis de bisturi, etc.</w:t>
            </w:r>
          </w:p>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RE 2605/06 ANVISA</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Moldes e modelos são previamente descontaminados para encaminhamento ao protético?</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sz w:val="20"/>
                <w:szCs w:val="20"/>
              </w:rPr>
            </w:pP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r>
              <w:rPr>
                <w:rFonts w:ascii="Arial" w:hAnsi="Arial" w:cs="Arial"/>
                <w:sz w:val="20"/>
                <w:szCs w:val="20"/>
              </w:rPr>
              <w:t>Os materiais de consumo estão dentro do prazo de validade e armazenados conforme recomendações do fabricante?</w:t>
            </w:r>
          </w:p>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sz w:val="20"/>
                <w:szCs w:val="20"/>
                <w:lang w:val="en-US"/>
              </w:rPr>
            </w:pPr>
            <w:r>
              <w:rPr>
                <w:rFonts w:ascii="Arial" w:hAnsi="Arial" w:cs="Arial"/>
                <w:sz w:val="20"/>
                <w:szCs w:val="20"/>
                <w:lang w:val="en-US"/>
              </w:rPr>
              <w:t>Lei 8078/90 Art. 18 §6°1 c/c LCM 239/06 Art. 66</w:t>
            </w:r>
          </w:p>
          <w:p w:rsidR="00B0557A" w:rsidRDefault="00B0557A">
            <w:pPr>
              <w:rPr>
                <w:rFonts w:ascii="Arial" w:hAnsi="Arial" w:cs="Arial"/>
                <w:sz w:val="20"/>
                <w:szCs w:val="20"/>
                <w:lang w:val="en-US"/>
              </w:rPr>
            </w:pP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r>
              <w:rPr>
                <w:rFonts w:ascii="Arial" w:hAnsi="Arial" w:cs="Arial"/>
                <w:sz w:val="20"/>
                <w:szCs w:val="20"/>
              </w:rPr>
              <w:t>O refrigerador para guarda de materiais odontológicos está livre de alimentos?</w:t>
            </w:r>
          </w:p>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bCs/>
                <w:sz w:val="20"/>
                <w:szCs w:val="20"/>
              </w:rPr>
            </w:pPr>
            <w:r>
              <w:rPr>
                <w:rFonts w:ascii="Arial" w:hAnsi="Arial" w:cs="Arial"/>
                <w:bCs/>
                <w:sz w:val="20"/>
                <w:szCs w:val="20"/>
              </w:rPr>
              <w:t>RDC 63/11 ANVISA Art. 64</w:t>
            </w:r>
          </w:p>
          <w:p w:rsidR="00B0557A" w:rsidRDefault="00B0557A">
            <w:pPr>
              <w:rPr>
                <w:rFonts w:ascii="Arial" w:hAnsi="Arial" w:cs="Arial"/>
                <w:sz w:val="20"/>
                <w:szCs w:val="20"/>
              </w:rPr>
            </w:pP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Ambientes estão livres de equipamentos, instrumentais e materiais em desuso?</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LCM 239/06 Art. 66</w:t>
            </w:r>
          </w:p>
        </w:tc>
      </w:tr>
      <w:tr w:rsidR="00B0557A" w:rsidTr="00B0557A">
        <w:trPr>
          <w:trHeight w:val="287"/>
          <w:jc w:val="center"/>
        </w:trPr>
        <w:tc>
          <w:tcPr>
            <w:tcW w:w="5815"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r>
              <w:rPr>
                <w:rFonts w:ascii="Arial" w:hAnsi="Arial" w:cs="Arial"/>
                <w:sz w:val="20"/>
                <w:szCs w:val="20"/>
              </w:rPr>
              <w:t>Possui compressor isento de óleo, instalado em local com captação de ar proveniente do ambiente externo?</w:t>
            </w:r>
          </w:p>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sz w:val="20"/>
                <w:szCs w:val="20"/>
              </w:rPr>
            </w:pPr>
            <w:r>
              <w:rPr>
                <w:rFonts w:ascii="Arial" w:hAnsi="Arial" w:cs="Arial"/>
                <w:sz w:val="20"/>
                <w:szCs w:val="20"/>
              </w:rPr>
              <w:t>RDC 50/02 ANVISA Item 7.3.3.2</w:t>
            </w:r>
          </w:p>
          <w:p w:rsidR="00B0557A" w:rsidRDefault="00B0557A">
            <w:pPr>
              <w:rPr>
                <w:rFonts w:ascii="Arial" w:hAnsi="Arial" w:cs="Arial"/>
                <w:sz w:val="20"/>
                <w:szCs w:val="20"/>
              </w:rPr>
            </w:pP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r>
              <w:rPr>
                <w:rFonts w:ascii="Arial" w:hAnsi="Arial" w:cs="Arial"/>
                <w:sz w:val="20"/>
                <w:szCs w:val="20"/>
              </w:rPr>
              <w:lastRenderedPageBreak/>
              <w:t>Os profissionais fazem uso de EPI?</w:t>
            </w:r>
          </w:p>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bCs/>
                <w:sz w:val="20"/>
                <w:szCs w:val="20"/>
              </w:rPr>
            </w:pPr>
            <w:r>
              <w:rPr>
                <w:rFonts w:ascii="Arial" w:hAnsi="Arial" w:cs="Arial"/>
                <w:bCs/>
                <w:sz w:val="20"/>
                <w:szCs w:val="20"/>
              </w:rPr>
              <w:t>RDC 63/11 ANVISA Art. 47</w:t>
            </w:r>
          </w:p>
          <w:p w:rsidR="00B0557A" w:rsidRDefault="00B0557A">
            <w:pPr>
              <w:rPr>
                <w:rFonts w:ascii="Arial" w:hAnsi="Arial" w:cs="Arial"/>
                <w:sz w:val="20"/>
                <w:szCs w:val="20"/>
              </w:rPr>
            </w:pP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center"/>
              <w:rPr>
                <w:rFonts w:ascii="Arial" w:hAnsi="Arial" w:cs="Arial"/>
                <w:b/>
                <w:sz w:val="20"/>
                <w:szCs w:val="20"/>
                <w:lang w:eastAsia="pt-BR"/>
              </w:rPr>
            </w:pPr>
            <w:r>
              <w:rPr>
                <w:rFonts w:ascii="Arial" w:hAnsi="Arial" w:cs="Arial"/>
                <w:b/>
                <w:bCs/>
                <w:sz w:val="20"/>
                <w:szCs w:val="20"/>
              </w:rPr>
              <w:t>CME (Centro de material e esterilização)</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B0557A" w:rsidRDefault="00B0557A">
            <w:pPr>
              <w:jc w:val="center"/>
              <w:rPr>
                <w:rFonts w:ascii="Arial" w:hAnsi="Arial" w:cs="Arial"/>
                <w:b/>
                <w:bCs/>
                <w:sz w:val="20"/>
                <w:szCs w:val="20"/>
              </w:rPr>
            </w:pPr>
            <w:r>
              <w:rPr>
                <w:rFonts w:ascii="Arial" w:hAnsi="Arial" w:cs="Arial"/>
                <w:b/>
                <w:bCs/>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b/>
                <w:bCs/>
                <w:sz w:val="20"/>
                <w:szCs w:val="20"/>
              </w:rPr>
            </w:pPr>
            <w:r>
              <w:rPr>
                <w:rFonts w:ascii="Arial" w:hAnsi="Arial" w:cs="Arial"/>
                <w:b/>
                <w:bCs/>
                <w:sz w:val="20"/>
                <w:szCs w:val="20"/>
              </w:rPr>
              <w:t>ENQUADRAMENTO LEGAL</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rPr>
              <w:t>As etapas do processamento dos instrumentais seguem Procedimento Operacional Padrão (POP) atualizado? O POP é acessível aos funcionários?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lang w:val="en-US"/>
              </w:rPr>
            </w:pPr>
            <w:r>
              <w:rPr>
                <w:rFonts w:ascii="Arial" w:hAnsi="Arial" w:cs="Arial"/>
                <w:sz w:val="20"/>
                <w:szCs w:val="20"/>
                <w:lang w:val="en-US"/>
              </w:rPr>
              <w:t xml:space="preserve">RDC 15/12 ANVISA Art. 24 caput, § </w:t>
            </w:r>
            <w:proofErr w:type="spellStart"/>
            <w:r>
              <w:rPr>
                <w:rFonts w:ascii="Arial" w:hAnsi="Arial" w:cs="Arial"/>
                <w:sz w:val="20"/>
                <w:szCs w:val="20"/>
                <w:lang w:val="en-US"/>
              </w:rPr>
              <w:t>único</w:t>
            </w:r>
            <w:proofErr w:type="spellEnd"/>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Existem registros referentes à manutenção corretiva e preventiva periódica dos equipamentos do CME?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rPr>
                <w:rFonts w:ascii="Arial" w:hAnsi="Arial" w:cs="Arial"/>
                <w:sz w:val="20"/>
                <w:szCs w:val="20"/>
                <w:lang w:eastAsia="pt-BR"/>
              </w:rPr>
            </w:pPr>
            <w:r>
              <w:rPr>
                <w:rFonts w:ascii="Arial" w:hAnsi="Arial" w:cs="Arial"/>
                <w:sz w:val="20"/>
                <w:szCs w:val="20"/>
                <w:lang w:eastAsia="pt-BR"/>
              </w:rPr>
              <w:t>RDC 15/12 ANVISA Art. 40</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O estabelecimento fornece aos funcionários os EPI’s mínimos necessários para que realizem suas atividades? </w:t>
            </w:r>
          </w:p>
          <w:p w:rsidR="00B0557A" w:rsidRDefault="00B0557A">
            <w:pPr>
              <w:autoSpaceDE w:val="0"/>
              <w:autoSpaceDN w:val="0"/>
              <w:adjustRightInd w:val="0"/>
              <w:jc w:val="both"/>
              <w:rPr>
                <w:rFonts w:ascii="Arial" w:hAnsi="Arial" w:cs="Arial"/>
                <w:sz w:val="20"/>
                <w:szCs w:val="20"/>
                <w:vertAlign w:val="superscript"/>
                <w:lang w:eastAsia="pt-BR"/>
              </w:rPr>
            </w:pPr>
            <w:r>
              <w:rPr>
                <w:rFonts w:ascii="Arial" w:hAnsi="Arial" w:cs="Arial"/>
                <w:sz w:val="20"/>
                <w:szCs w:val="20"/>
                <w:vertAlign w:val="superscript"/>
                <w:lang w:eastAsia="pt-BR"/>
              </w:rPr>
              <w:t>Ex.: protetor facial, óculos, máscara, luvas de proteção térmica, outros.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val="en-US" w:eastAsia="pt-BR"/>
              </w:rPr>
            </w:pPr>
            <w:r>
              <w:rPr>
                <w:rFonts w:ascii="Arial" w:hAnsi="Arial" w:cs="Arial"/>
                <w:sz w:val="20"/>
                <w:szCs w:val="20"/>
                <w:lang w:val="en-US" w:eastAsia="pt-BR"/>
              </w:rPr>
              <w:t>RDC 15/12 ANVISA Art. 31 c/c RDC 50/02 ANVISA item b.2.3</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Existe barreira técnica entre o setor sujo e os setores limpos no CME? (</w:t>
            </w:r>
            <w:r>
              <w:rPr>
                <w:rFonts w:ascii="Arial" w:hAnsi="Arial" w:cs="Arial"/>
                <w:sz w:val="20"/>
                <w:szCs w:val="20"/>
              </w:rPr>
              <w:t>O processamento do instrumental segue um fluxo direcionado sempre da área suja para a área limpa)?</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lang w:eastAsia="pt-BR"/>
              </w:rPr>
            </w:pPr>
            <w:r>
              <w:rPr>
                <w:rFonts w:ascii="Arial" w:hAnsi="Arial" w:cs="Arial"/>
                <w:sz w:val="20"/>
                <w:szCs w:val="20"/>
                <w:lang w:val="en-US"/>
              </w:rPr>
              <w:t>RDC 15/12 ANVISA</w:t>
            </w:r>
            <w:r>
              <w:rPr>
                <w:rFonts w:ascii="Arial" w:hAnsi="Arial" w:cs="Arial"/>
                <w:sz w:val="20"/>
                <w:szCs w:val="20"/>
                <w:lang w:eastAsia="pt-BR"/>
              </w:rPr>
              <w:t xml:space="preserve"> Art. 15 e 46</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pia inserida em bancada para a lavagem dos materiais?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lang w:eastAsia="pt-BR"/>
              </w:rPr>
            </w:pPr>
            <w:r>
              <w:rPr>
                <w:rFonts w:ascii="Arial" w:hAnsi="Arial" w:cs="Arial"/>
                <w:sz w:val="20"/>
                <w:szCs w:val="20"/>
                <w:lang w:eastAsia="pt-BR"/>
              </w:rPr>
              <w:t>Norma Técnica de Processamento de Artigos e Superfícies em Estabelecimentos de Saúde MS/94</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Os produtos utilizados para a limpeza ou descontaminação dos artigos são devidamente regularizados junto à ANVISA?                           </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Lei Federal 6360/76 </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 limpeza manual por meio de fricção é feita com auxílio de acessórios não abrasivos e que não liberem partículas?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RDC 15/12 ANVISA Art. 66</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Os resíduos infectantes e perfurocortantes gerados na etapa de limpeza são descartados em recipiente disponível no local? </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RDC 15/12 ANVISA Art. 75</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Dispõe de água corrente potável para o enxágue após a limpeza ou descontaminação?</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Norma Técnica de Processamento de Artigos e Superfícies em Estabelecimentos de Saúde MS/94</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bancada de apoio para secagem e empacotamento?</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Norma Técnica de Processamento de Artigos e Superfícies em Estabelecimentos de Saúde MS/94</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Os materiais são empacotados em embalagens específicas para esterilização e com registro na ANVISA?</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vAlign w:val="center"/>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val="en-US"/>
              </w:rPr>
              <w:t>RDC 15/12 ANVISA</w:t>
            </w:r>
            <w:r>
              <w:rPr>
                <w:rFonts w:ascii="Arial" w:hAnsi="Arial" w:cs="Arial"/>
                <w:sz w:val="20"/>
                <w:szCs w:val="20"/>
                <w:lang w:eastAsia="pt-BR"/>
              </w:rPr>
              <w:t xml:space="preserve"> Art. 78</w:t>
            </w:r>
          </w:p>
          <w:p w:rsidR="00B0557A" w:rsidRDefault="00B0557A">
            <w:pPr>
              <w:autoSpaceDE w:val="0"/>
              <w:autoSpaceDN w:val="0"/>
              <w:adjustRightInd w:val="0"/>
              <w:jc w:val="both"/>
              <w:rPr>
                <w:rFonts w:ascii="Arial" w:hAnsi="Arial" w:cs="Arial"/>
                <w:sz w:val="20"/>
                <w:szCs w:val="20"/>
                <w:lang w:eastAsia="pt-BR"/>
              </w:rPr>
            </w:pP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Todas as caixas metálicas possuem perfurações?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RDC 15/12 ANVISA Art. 81</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Embalagens do tipo envelope são seladas com o auxílio de termosseladora ou segundo orientações do fabricante?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RDC 15/12 ANVISA Art. 80</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As embalagens encontram-se devidamente identificadas por meio de rótulos ou etiquetas, conforme preconizado pela RDC 15/12 ANVISA?</w:t>
            </w:r>
          </w:p>
          <w:p w:rsidR="00B0557A" w:rsidRDefault="00B0557A">
            <w:pPr>
              <w:autoSpaceDE w:val="0"/>
              <w:autoSpaceDN w:val="0"/>
              <w:adjustRightInd w:val="0"/>
              <w:jc w:val="both"/>
              <w:rPr>
                <w:rFonts w:ascii="Arial" w:hAnsi="Arial" w:cs="Arial"/>
                <w:sz w:val="20"/>
                <w:szCs w:val="20"/>
                <w:vertAlign w:val="superscript"/>
                <w:lang w:eastAsia="pt-BR"/>
              </w:rPr>
            </w:pPr>
            <w:r>
              <w:rPr>
                <w:rFonts w:ascii="Arial" w:hAnsi="Arial" w:cs="Arial"/>
                <w:sz w:val="20"/>
                <w:szCs w:val="20"/>
                <w:vertAlign w:val="superscript"/>
                <w:lang w:eastAsia="pt-BR"/>
              </w:rPr>
              <w:t>(Deve constar nesta identificação a data de esterilização, responsável pelo processamento etc.)</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RDC 15/12 ANVISA Art. 83, 84, 85</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Os instrumentais esterilizados estão acondicionados em local exclusivo, limpo e seco, organizado e de maneira a garantir sua integridade?</w:t>
            </w:r>
          </w:p>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rPr>
                <w:rFonts w:ascii="Arial" w:hAnsi="Arial" w:cs="Arial"/>
                <w:sz w:val="20"/>
                <w:szCs w:val="20"/>
                <w:lang w:eastAsia="pt-BR"/>
              </w:rPr>
            </w:pPr>
            <w:r>
              <w:rPr>
                <w:rFonts w:ascii="Arial" w:hAnsi="Arial" w:cs="Arial"/>
                <w:sz w:val="20"/>
                <w:szCs w:val="20"/>
                <w:lang w:eastAsia="pt-BR"/>
              </w:rPr>
              <w:t>RDC 15/12 ANVISA Art. 101</w:t>
            </w:r>
          </w:p>
          <w:p w:rsidR="00B0557A" w:rsidRDefault="00B0557A">
            <w:pPr>
              <w:autoSpaceDE w:val="0"/>
              <w:autoSpaceDN w:val="0"/>
              <w:adjustRightInd w:val="0"/>
              <w:rPr>
                <w:rFonts w:ascii="Arial" w:hAnsi="Arial" w:cs="Arial"/>
                <w:sz w:val="20"/>
                <w:szCs w:val="20"/>
                <w:lang w:eastAsia="pt-BR"/>
              </w:rPr>
            </w:pPr>
            <w:r>
              <w:rPr>
                <w:rFonts w:ascii="Arial" w:hAnsi="Arial" w:cs="Arial"/>
                <w:sz w:val="20"/>
                <w:szCs w:val="20"/>
                <w:lang w:eastAsia="pt-BR"/>
              </w:rPr>
              <w:t>Norma Técnica de Processamento de Artigos e Superfícies em Estabelecimentos de Saúde MS/94</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O monitoramento químico do processo de esterilização em autoclave é realizado a cada ciclo, através de integradores químicos (classes 5 ou 6)?</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RDC 15/12 ANVISA Art. 96</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snapToGrid w:val="0"/>
              <w:rPr>
                <w:rFonts w:ascii="Arial" w:hAnsi="Arial" w:cs="Arial"/>
                <w:sz w:val="20"/>
                <w:szCs w:val="20"/>
                <w:lang w:eastAsia="pt-BR"/>
              </w:rPr>
            </w:pPr>
            <w:r>
              <w:rPr>
                <w:rFonts w:ascii="Arial" w:hAnsi="Arial" w:cs="Arial"/>
                <w:sz w:val="20"/>
                <w:szCs w:val="20"/>
                <w:lang w:eastAsia="pt-BR"/>
              </w:rPr>
              <w:t>Os resultados estão registrados?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jc w:val="both"/>
              <w:rPr>
                <w:rFonts w:ascii="Arial" w:hAnsi="Arial" w:cs="Arial"/>
                <w:sz w:val="20"/>
                <w:szCs w:val="20"/>
                <w:lang w:eastAsia="pt-BR"/>
              </w:rPr>
            </w:pPr>
            <w:r>
              <w:rPr>
                <w:rFonts w:ascii="Arial" w:hAnsi="Arial" w:cs="Arial"/>
                <w:sz w:val="20"/>
                <w:szCs w:val="20"/>
                <w:lang w:eastAsia="pt-BR"/>
              </w:rPr>
              <w:t>RDC 15/12 ANVISA Art. 100</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snapToGrid w:val="0"/>
              <w:rPr>
                <w:rFonts w:ascii="Arial" w:hAnsi="Arial" w:cs="Arial"/>
                <w:sz w:val="20"/>
                <w:szCs w:val="20"/>
                <w:lang w:eastAsia="pt-BR"/>
              </w:rPr>
            </w:pPr>
            <w:r>
              <w:rPr>
                <w:rFonts w:ascii="Arial" w:hAnsi="Arial" w:cs="Arial"/>
                <w:sz w:val="20"/>
                <w:szCs w:val="20"/>
                <w:lang w:eastAsia="pt-BR"/>
              </w:rPr>
              <w:t xml:space="preserve">O monitoramento do processo de esterilização em autoclave, através de indicadores biológicos, é realizado diariamente?                                 </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jc w:val="both"/>
              <w:rPr>
                <w:rFonts w:ascii="Arial" w:hAnsi="Arial" w:cs="Arial"/>
                <w:sz w:val="20"/>
                <w:szCs w:val="20"/>
                <w:lang w:eastAsia="pt-BR"/>
              </w:rPr>
            </w:pPr>
            <w:r>
              <w:rPr>
                <w:rFonts w:ascii="Arial" w:hAnsi="Arial" w:cs="Arial"/>
                <w:sz w:val="20"/>
                <w:szCs w:val="20"/>
                <w:lang w:eastAsia="pt-BR"/>
              </w:rPr>
              <w:t>RDC 15/12 ANVISA Art. 99</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O setor possui incubadoras de indicadores biológicos para monitoramento da esterilização?</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RDC 15/12 ANVISA Art. 42</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snapToGrid w:val="0"/>
              <w:rPr>
                <w:rFonts w:ascii="Arial" w:hAnsi="Arial" w:cs="Arial"/>
                <w:sz w:val="20"/>
                <w:szCs w:val="20"/>
                <w:lang w:eastAsia="pt-BR"/>
              </w:rPr>
            </w:pPr>
            <w:r>
              <w:rPr>
                <w:rFonts w:ascii="Arial" w:hAnsi="Arial" w:cs="Arial"/>
                <w:sz w:val="20"/>
                <w:szCs w:val="20"/>
                <w:lang w:eastAsia="pt-BR"/>
              </w:rPr>
              <w:t>Os resultados estão registrados?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jc w:val="both"/>
              <w:rPr>
                <w:rFonts w:ascii="Arial" w:hAnsi="Arial" w:cs="Arial"/>
                <w:sz w:val="20"/>
                <w:szCs w:val="20"/>
                <w:lang w:eastAsia="pt-BR"/>
              </w:rPr>
            </w:pPr>
            <w:r>
              <w:rPr>
                <w:rFonts w:ascii="Arial" w:hAnsi="Arial" w:cs="Arial"/>
                <w:sz w:val="20"/>
                <w:szCs w:val="20"/>
                <w:lang w:eastAsia="pt-BR"/>
              </w:rPr>
              <w:t>RDC 15/12 ANVISA Art. 100</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Armazena a caixa dos indicadores biológicos (ampolas) em local com temperatura e umidade controladas?</w:t>
            </w:r>
          </w:p>
          <w:p w:rsidR="00B0557A" w:rsidRDefault="00B0557A">
            <w:pPr>
              <w:autoSpaceDE w:val="0"/>
              <w:autoSpaceDN w:val="0"/>
              <w:adjustRightInd w:val="0"/>
              <w:jc w:val="both"/>
              <w:rPr>
                <w:rFonts w:ascii="Arial" w:hAnsi="Arial" w:cs="Arial"/>
                <w:sz w:val="20"/>
                <w:szCs w:val="20"/>
                <w:vertAlign w:val="superscript"/>
                <w:lang w:eastAsia="pt-BR"/>
              </w:rPr>
            </w:pPr>
            <w:r>
              <w:rPr>
                <w:rFonts w:ascii="Arial" w:hAnsi="Arial" w:cs="Arial"/>
                <w:sz w:val="20"/>
                <w:szCs w:val="20"/>
                <w:vertAlign w:val="superscript"/>
                <w:lang w:eastAsia="pt-BR"/>
              </w:rPr>
              <w:t>Obs. As embalagens com ampolas devem ser acondicionadas longe de fontes de calor, de ambientes úmidos, protegidas de luz solar direta, de acordo com a orientação do fabricante.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rPr>
              <w:t>Caso realize esterilização ou desinfecção química, possui sala exclusiva para esta finalidade?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RDC 15/12 ANVISA Art. 86</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snapToGrid w:val="0"/>
              <w:jc w:val="center"/>
              <w:rPr>
                <w:rFonts w:ascii="Arial" w:hAnsi="Arial" w:cs="Arial"/>
                <w:b/>
                <w:sz w:val="20"/>
                <w:szCs w:val="20"/>
                <w:lang w:eastAsia="pt-BR"/>
              </w:rPr>
            </w:pPr>
            <w:r>
              <w:rPr>
                <w:rFonts w:ascii="Arial" w:hAnsi="Arial" w:cs="Arial"/>
                <w:b/>
                <w:sz w:val="20"/>
                <w:szCs w:val="20"/>
                <w:lang w:eastAsia="pt-BR"/>
              </w:rPr>
              <w:lastRenderedPageBreak/>
              <w:t>RADIOLOGIA INTRA-ORAL</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snapToGrid w:val="0"/>
              <w:jc w:val="center"/>
              <w:rPr>
                <w:rFonts w:ascii="Arial" w:hAnsi="Arial" w:cs="Arial"/>
                <w:b/>
                <w:sz w:val="20"/>
                <w:szCs w:val="20"/>
                <w:lang w:eastAsia="pt-BR"/>
              </w:rPr>
            </w:pPr>
            <w:r>
              <w:rPr>
                <w:rFonts w:ascii="Arial" w:hAnsi="Arial" w:cs="Arial"/>
                <w:b/>
                <w:sz w:val="20"/>
                <w:szCs w:val="20"/>
                <w:lang w:eastAsia="pt-BR"/>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snapToGrid w:val="0"/>
              <w:jc w:val="center"/>
              <w:rPr>
                <w:rFonts w:ascii="Arial" w:hAnsi="Arial" w:cs="Arial"/>
                <w:b/>
                <w:sz w:val="20"/>
                <w:szCs w:val="20"/>
                <w:lang w:eastAsia="pt-BR"/>
              </w:rPr>
            </w:pPr>
            <w:r>
              <w:rPr>
                <w:rFonts w:ascii="Arial" w:hAnsi="Arial" w:cs="Arial"/>
                <w:b/>
                <w:sz w:val="20"/>
                <w:szCs w:val="20"/>
                <w:lang w:eastAsia="pt-BR"/>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snapToGrid w:val="0"/>
              <w:jc w:val="center"/>
              <w:rPr>
                <w:rFonts w:ascii="Arial" w:hAnsi="Arial" w:cs="Arial"/>
                <w:b/>
                <w:sz w:val="20"/>
                <w:szCs w:val="20"/>
                <w:lang w:eastAsia="pt-BR"/>
              </w:rPr>
            </w:pPr>
            <w:r>
              <w:rPr>
                <w:rFonts w:ascii="Arial" w:hAnsi="Arial" w:cs="Arial"/>
                <w:b/>
                <w:sz w:val="20"/>
                <w:szCs w:val="20"/>
                <w:lang w:eastAsia="pt-BR"/>
              </w:rPr>
              <w:t>NA</w:t>
            </w:r>
          </w:p>
        </w:tc>
        <w:tc>
          <w:tcPr>
            <w:tcW w:w="568" w:type="dxa"/>
            <w:tcBorders>
              <w:top w:val="single" w:sz="4" w:space="0" w:color="auto"/>
              <w:left w:val="single" w:sz="4" w:space="0" w:color="auto"/>
              <w:bottom w:val="single" w:sz="4" w:space="0" w:color="auto"/>
              <w:right w:val="single" w:sz="4" w:space="0" w:color="auto"/>
            </w:tcBorders>
            <w:hideMark/>
          </w:tcPr>
          <w:p w:rsidR="00B0557A" w:rsidRDefault="00B0557A">
            <w:pPr>
              <w:snapToGrid w:val="0"/>
              <w:jc w:val="center"/>
              <w:rPr>
                <w:rFonts w:ascii="Arial" w:hAnsi="Arial" w:cs="Arial"/>
                <w:b/>
                <w:sz w:val="20"/>
                <w:szCs w:val="20"/>
                <w:lang w:eastAsia="pt-BR"/>
              </w:rPr>
            </w:pPr>
            <w:r>
              <w:rPr>
                <w:rFonts w:ascii="Arial" w:hAnsi="Arial" w:cs="Arial"/>
                <w:b/>
                <w:sz w:val="20"/>
                <w:szCs w:val="20"/>
                <w:lang w:eastAsia="pt-BR"/>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snapToGrid w:val="0"/>
              <w:jc w:val="center"/>
              <w:rPr>
                <w:rFonts w:ascii="Arial" w:hAnsi="Arial" w:cs="Arial"/>
                <w:b/>
                <w:sz w:val="20"/>
                <w:szCs w:val="20"/>
                <w:lang w:eastAsia="pt-BR"/>
              </w:rPr>
            </w:pPr>
            <w:r>
              <w:rPr>
                <w:rFonts w:ascii="Arial" w:hAnsi="Arial" w:cs="Arial"/>
                <w:b/>
                <w:sz w:val="20"/>
                <w:szCs w:val="20"/>
                <w:lang w:eastAsia="pt-BR"/>
              </w:rPr>
              <w:t>ENQUADRAMENTO LEGAL</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snapToGrid w:val="0"/>
              <w:rPr>
                <w:rFonts w:ascii="Arial" w:hAnsi="Arial" w:cs="Arial"/>
                <w:sz w:val="20"/>
                <w:szCs w:val="20"/>
              </w:rPr>
            </w:pPr>
            <w:r>
              <w:rPr>
                <w:rFonts w:ascii="Arial" w:hAnsi="Arial" w:cs="Arial"/>
                <w:sz w:val="20"/>
                <w:szCs w:val="20"/>
              </w:rPr>
              <w:t>Carga de trabalho semanal?</w:t>
            </w:r>
          </w:p>
          <w:p w:rsidR="00B0557A" w:rsidRDefault="00B0557A">
            <w:pPr>
              <w:snapToGrid w:val="0"/>
              <w:rPr>
                <w:rFonts w:ascii="Arial" w:hAnsi="Arial" w:cs="Arial"/>
                <w:b/>
                <w:sz w:val="20"/>
                <w:szCs w:val="20"/>
                <w:lang w:eastAsia="pt-BR"/>
              </w:rPr>
            </w:pPr>
            <w:r>
              <w:rPr>
                <w:rFonts w:ascii="Arial" w:hAnsi="Arial" w:cs="Arial"/>
                <w:sz w:val="20"/>
                <w:szCs w:val="20"/>
              </w:rPr>
              <w:t>Informe aqui:</w:t>
            </w:r>
          </w:p>
        </w:tc>
        <w:tc>
          <w:tcPr>
            <w:tcW w:w="540" w:type="dxa"/>
            <w:tcBorders>
              <w:top w:val="single" w:sz="4" w:space="0" w:color="auto"/>
              <w:left w:val="single" w:sz="4" w:space="0" w:color="auto"/>
              <w:bottom w:val="single" w:sz="4" w:space="0" w:color="auto"/>
              <w:right w:val="single" w:sz="4" w:space="0" w:color="auto"/>
            </w:tcBorders>
            <w:vAlign w:val="center"/>
          </w:tcPr>
          <w:p w:rsidR="00B0557A" w:rsidRDefault="00B0557A">
            <w:pPr>
              <w:snapToGrid w:val="0"/>
              <w:jc w:val="center"/>
              <w:rPr>
                <w:rFonts w:ascii="Arial" w:hAnsi="Arial" w:cs="Arial"/>
                <w:b/>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vAlign w:val="center"/>
          </w:tcPr>
          <w:p w:rsidR="00B0557A" w:rsidRDefault="00B0557A">
            <w:pPr>
              <w:snapToGrid w:val="0"/>
              <w:jc w:val="center"/>
              <w:rPr>
                <w:rFonts w:ascii="Arial" w:hAnsi="Arial" w:cs="Arial"/>
                <w:b/>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vAlign w:val="center"/>
          </w:tcPr>
          <w:p w:rsidR="00B0557A" w:rsidRDefault="00B0557A">
            <w:pPr>
              <w:snapToGrid w:val="0"/>
              <w:jc w:val="center"/>
              <w:rPr>
                <w:rFonts w:ascii="Arial" w:hAnsi="Arial" w:cs="Arial"/>
                <w:b/>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snapToGrid w:val="0"/>
              <w:jc w:val="center"/>
              <w:rPr>
                <w:rFonts w:ascii="Arial" w:hAnsi="Arial" w:cs="Arial"/>
                <w:b/>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vAlign w:val="center"/>
          </w:tcPr>
          <w:p w:rsidR="00B0557A" w:rsidRDefault="00B0557A">
            <w:pPr>
              <w:snapToGrid w:val="0"/>
              <w:jc w:val="center"/>
              <w:rPr>
                <w:rFonts w:ascii="Arial" w:hAnsi="Arial" w:cs="Arial"/>
                <w:b/>
                <w:sz w:val="20"/>
                <w:szCs w:val="20"/>
                <w:lang w:eastAsia="pt-BR"/>
              </w:rPr>
            </w:pP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B0557A" w:rsidRDefault="00B0557A">
            <w:pPr>
              <w:spacing w:after="60"/>
              <w:rPr>
                <w:rFonts w:ascii="Arial" w:hAnsi="Arial" w:cs="Arial"/>
                <w:sz w:val="20"/>
                <w:szCs w:val="20"/>
              </w:rPr>
            </w:pPr>
            <w:r>
              <w:rPr>
                <w:rFonts w:ascii="Arial" w:hAnsi="Arial" w:cs="Arial"/>
                <w:sz w:val="20"/>
                <w:szCs w:val="20"/>
              </w:rPr>
              <w:t>No momento do disparo, a equipe se posiciona no mínimo a 2 m do cabeçote e do paciente?</w:t>
            </w:r>
          </w:p>
          <w:p w:rsidR="00B0557A" w:rsidRDefault="00B0557A">
            <w:pPr>
              <w:spacing w:after="60"/>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spacing w:after="60"/>
              <w:rPr>
                <w:rFonts w:ascii="Arial" w:hAnsi="Arial" w:cs="Arial"/>
                <w:sz w:val="20"/>
                <w:szCs w:val="20"/>
              </w:rPr>
            </w:pPr>
            <w:r>
              <w:rPr>
                <w:rFonts w:ascii="Arial" w:hAnsi="Arial" w:cs="Arial"/>
                <w:sz w:val="20"/>
                <w:szCs w:val="20"/>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spacing w:after="60"/>
              <w:rPr>
                <w:rFonts w:ascii="Arial" w:hAnsi="Arial" w:cs="Arial"/>
                <w:sz w:val="20"/>
                <w:szCs w:val="20"/>
              </w:rPr>
            </w:pPr>
            <w:r>
              <w:rPr>
                <w:rFonts w:ascii="Arial" w:hAnsi="Arial" w:cs="Arial"/>
                <w:sz w:val="20"/>
                <w:szCs w:val="20"/>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spacing w:after="60"/>
              <w:rPr>
                <w:rFonts w:ascii="Arial" w:hAnsi="Arial" w:cs="Arial"/>
                <w:sz w:val="20"/>
                <w:szCs w:val="20"/>
              </w:rPr>
            </w:pPr>
            <w:r>
              <w:rPr>
                <w:rFonts w:ascii="Arial" w:hAnsi="Arial" w:cs="Arial"/>
                <w:sz w:val="20"/>
                <w:szCs w:val="20"/>
              </w:rPr>
              <w:t> </w:t>
            </w:r>
          </w:p>
        </w:tc>
        <w:tc>
          <w:tcPr>
            <w:tcW w:w="568" w:type="dxa"/>
            <w:tcBorders>
              <w:top w:val="single" w:sz="4" w:space="0" w:color="auto"/>
              <w:left w:val="single" w:sz="4" w:space="0" w:color="auto"/>
              <w:bottom w:val="single" w:sz="4" w:space="0" w:color="auto"/>
              <w:right w:val="single" w:sz="4" w:space="0" w:color="auto"/>
            </w:tcBorders>
            <w:vAlign w:val="bottom"/>
            <w:hideMark/>
          </w:tcPr>
          <w:p w:rsidR="00B0557A" w:rsidRDefault="00B0557A">
            <w:pPr>
              <w:spacing w:after="60"/>
              <w:rPr>
                <w:rFonts w:ascii="Arial" w:hAnsi="Arial" w:cs="Arial"/>
                <w:sz w:val="20"/>
                <w:szCs w:val="20"/>
              </w:rPr>
            </w:pPr>
            <w:r>
              <w:rPr>
                <w:rFonts w:ascii="Arial" w:hAnsi="Arial" w:cs="Arial"/>
                <w:sz w:val="20"/>
                <w:szCs w:val="20"/>
              </w:rPr>
              <w:t> </w:t>
            </w: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spacing w:after="60"/>
              <w:jc w:val="both"/>
              <w:rPr>
                <w:rFonts w:ascii="Arial" w:hAnsi="Arial" w:cs="Arial"/>
                <w:sz w:val="20"/>
                <w:szCs w:val="20"/>
              </w:rPr>
            </w:pPr>
            <w:r>
              <w:rPr>
                <w:rFonts w:ascii="Arial" w:hAnsi="Arial" w:cs="Arial"/>
                <w:sz w:val="20"/>
                <w:szCs w:val="20"/>
              </w:rPr>
              <w:t>Item 5.2 Portaria 453/98 MS</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spacing w:after="60"/>
              <w:rPr>
                <w:rFonts w:ascii="Arial" w:hAnsi="Arial" w:cs="Arial"/>
                <w:sz w:val="20"/>
                <w:szCs w:val="20"/>
              </w:rPr>
            </w:pPr>
            <w:r>
              <w:rPr>
                <w:rFonts w:ascii="Arial" w:hAnsi="Arial" w:cs="Arial"/>
                <w:sz w:val="20"/>
                <w:szCs w:val="20"/>
              </w:rPr>
              <w:t>Existe vestimenta plumbífera que garanta a proteção do tronco dos pacientes, incluindo tireoide e gônadas?</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spacing w:after="60"/>
              <w:rPr>
                <w:rFonts w:ascii="Arial" w:hAnsi="Arial" w:cs="Arial"/>
                <w:sz w:val="20"/>
                <w:szCs w:val="20"/>
              </w:rPr>
            </w:pPr>
            <w:r>
              <w:rPr>
                <w:rFonts w:ascii="Arial" w:hAnsi="Arial" w:cs="Arial"/>
                <w:sz w:val="20"/>
                <w:szCs w:val="20"/>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spacing w:after="60"/>
              <w:rPr>
                <w:rFonts w:ascii="Arial" w:hAnsi="Arial" w:cs="Arial"/>
                <w:sz w:val="20"/>
                <w:szCs w:val="20"/>
              </w:rPr>
            </w:pPr>
            <w:r>
              <w:rPr>
                <w:rFonts w:ascii="Arial" w:hAnsi="Arial" w:cs="Arial"/>
                <w:sz w:val="20"/>
                <w:szCs w:val="20"/>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spacing w:after="60"/>
              <w:rPr>
                <w:rFonts w:ascii="Arial" w:hAnsi="Arial" w:cs="Arial"/>
                <w:sz w:val="20"/>
                <w:szCs w:val="20"/>
              </w:rPr>
            </w:pPr>
            <w:r>
              <w:rPr>
                <w:rFonts w:ascii="Arial" w:hAnsi="Arial" w:cs="Arial"/>
                <w:sz w:val="20"/>
                <w:szCs w:val="20"/>
              </w:rPr>
              <w:t> </w:t>
            </w:r>
          </w:p>
        </w:tc>
        <w:tc>
          <w:tcPr>
            <w:tcW w:w="568" w:type="dxa"/>
            <w:tcBorders>
              <w:top w:val="single" w:sz="4" w:space="0" w:color="auto"/>
              <w:left w:val="single" w:sz="4" w:space="0" w:color="auto"/>
              <w:bottom w:val="single" w:sz="4" w:space="0" w:color="auto"/>
              <w:right w:val="single" w:sz="4" w:space="0" w:color="auto"/>
            </w:tcBorders>
            <w:vAlign w:val="bottom"/>
            <w:hideMark/>
          </w:tcPr>
          <w:p w:rsidR="00B0557A" w:rsidRDefault="00B0557A">
            <w:pPr>
              <w:spacing w:after="60"/>
              <w:rPr>
                <w:rFonts w:ascii="Arial" w:hAnsi="Arial" w:cs="Arial"/>
                <w:sz w:val="20"/>
                <w:szCs w:val="20"/>
              </w:rPr>
            </w:pPr>
            <w:r>
              <w:rPr>
                <w:rFonts w:ascii="Arial" w:hAnsi="Arial" w:cs="Arial"/>
                <w:sz w:val="20"/>
                <w:szCs w:val="20"/>
              </w:rPr>
              <w:t> </w:t>
            </w: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spacing w:after="60"/>
              <w:jc w:val="both"/>
              <w:rPr>
                <w:rFonts w:ascii="Arial" w:hAnsi="Arial" w:cs="Arial"/>
                <w:sz w:val="20"/>
                <w:szCs w:val="20"/>
              </w:rPr>
            </w:pPr>
            <w:r>
              <w:rPr>
                <w:rFonts w:ascii="Arial" w:hAnsi="Arial" w:cs="Arial"/>
                <w:sz w:val="20"/>
                <w:szCs w:val="20"/>
              </w:rPr>
              <w:t>Item 5.5 Portaria 453/98 MS</w:t>
            </w:r>
          </w:p>
        </w:tc>
      </w:tr>
      <w:tr w:rsidR="00B0557A" w:rsidTr="00B0557A">
        <w:trPr>
          <w:trHeight w:val="291"/>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Disponibiliza uma vestimenta plumbífera para cada equipamento de raios-x?</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Item 5.5 Portaria 453/98 MS</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Os aventais plumbíferos são acondicionados de forma a preservar sua integridade, sobre superfície horizontal ou em suporte apropriado?</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68"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5.8 Portaria 453/98 MS</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Os filmes são acondicionados em local protegido do calor, umidade, radiação e vapores químicos?</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68"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5.13 Portaria 453/98 MS</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Sistema de controle da duração da exposição é eletrônico? Permite apenas exposição com duração até 5 s?</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68"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5.7 Portaria 453/98 MS</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Sistema de disparo imediato?</w:t>
            </w:r>
          </w:p>
          <w:p w:rsidR="00B0557A" w:rsidRDefault="00B0557A">
            <w:pPr>
              <w:autoSpaceDE w:val="0"/>
              <w:autoSpaceDN w:val="0"/>
              <w:adjustRightInd w:val="0"/>
              <w:jc w:val="both"/>
              <w:rPr>
                <w:rFonts w:ascii="Arial" w:hAnsi="Arial" w:cs="Arial"/>
                <w:sz w:val="20"/>
                <w:szCs w:val="20"/>
                <w:vertAlign w:val="superscript"/>
                <w:lang w:eastAsia="pt-BR"/>
              </w:rPr>
            </w:pPr>
            <w:r>
              <w:rPr>
                <w:rFonts w:ascii="Arial" w:hAnsi="Arial" w:cs="Arial"/>
                <w:sz w:val="20"/>
                <w:szCs w:val="20"/>
                <w:vertAlign w:val="superscript"/>
                <w:lang w:eastAsia="pt-BR"/>
              </w:rPr>
              <w:t>Obs.: é proibido sistema de disparo com retardo</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68"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5.8 Portaria 453/98 MS</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 câmara escura portátil é constituída de material opaco?</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68" w:type="dxa"/>
            <w:tcBorders>
              <w:top w:val="single" w:sz="4" w:space="0" w:color="auto"/>
              <w:left w:val="single" w:sz="4" w:space="0" w:color="auto"/>
              <w:bottom w:val="single" w:sz="4" w:space="0" w:color="auto"/>
              <w:right w:val="single" w:sz="4" w:space="0" w:color="auto"/>
            </w:tcBorders>
            <w:vAlign w:val="bottom"/>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3547"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5.6 Portaria 453/98 MS</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teste de aceitação de instalação do equipamento emitido pelo fornecedor?</w:t>
            </w:r>
          </w:p>
          <w:p w:rsidR="00B0557A" w:rsidRDefault="00B0557A">
            <w:pPr>
              <w:autoSpaceDE w:val="0"/>
              <w:autoSpaceDN w:val="0"/>
              <w:adjustRightInd w:val="0"/>
              <w:jc w:val="both"/>
              <w:rPr>
                <w:rFonts w:ascii="Arial" w:hAnsi="Arial" w:cs="Arial"/>
                <w:sz w:val="20"/>
                <w:szCs w:val="20"/>
                <w:vertAlign w:val="superscript"/>
                <w:lang w:eastAsia="pt-BR"/>
              </w:rPr>
            </w:pPr>
            <w:r>
              <w:rPr>
                <w:rFonts w:ascii="Arial" w:hAnsi="Arial" w:cs="Arial"/>
                <w:sz w:val="20"/>
                <w:szCs w:val="20"/>
                <w:vertAlign w:val="superscript"/>
                <w:lang w:eastAsia="pt-BR"/>
              </w:rPr>
              <w:t>Obs.: se for a primeira solicitação de alvará sanitário.</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68"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3.9 alínea c inciso I Portaria 453/98 MS</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Certificado de adequação da blindagem do cabeçote emitido pelo fabricante?</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68"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3.9 alínea c inciso III Portaria 453/98 MS</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Certificação da blindagem do cabeçote quanto à radiação de fuga?</w:t>
            </w:r>
          </w:p>
          <w:p w:rsidR="00B0557A" w:rsidRDefault="00B0557A">
            <w:pPr>
              <w:autoSpaceDE w:val="0"/>
              <w:autoSpaceDN w:val="0"/>
              <w:adjustRightInd w:val="0"/>
              <w:jc w:val="both"/>
              <w:rPr>
                <w:rFonts w:ascii="Arial" w:hAnsi="Arial" w:cs="Arial"/>
                <w:sz w:val="20"/>
                <w:szCs w:val="20"/>
                <w:vertAlign w:val="superscript"/>
                <w:lang w:eastAsia="pt-BR"/>
              </w:rPr>
            </w:pPr>
            <w:r>
              <w:rPr>
                <w:rFonts w:ascii="Arial" w:hAnsi="Arial" w:cs="Arial"/>
                <w:sz w:val="20"/>
                <w:szCs w:val="20"/>
                <w:vertAlign w:val="superscript"/>
                <w:lang w:eastAsia="pt-BR"/>
              </w:rPr>
              <w:t>Obs.: após 4 anos de uso do equipamento.</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68"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3.52 alínea b inciso II portaria 453/98 MS</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Relatório de Controle de Qualidade (testes de constância/desempenho) com periodicidade mínima de 2 anos?</w:t>
            </w:r>
          </w:p>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 Camada semi-redutora;</w:t>
            </w:r>
          </w:p>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b) Tensão de pico;</w:t>
            </w:r>
          </w:p>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 Tamanho de campo;</w:t>
            </w:r>
          </w:p>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d) Reprodutibilidade do tempo de exposição ou reprodutibilidade da taxa de kerma no ar;</w:t>
            </w:r>
          </w:p>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e) Linearidade da taxa de kerma no ar com o tempo de exposição;</w:t>
            </w:r>
          </w:p>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f) Dose de entrada na pele do paciente;</w:t>
            </w:r>
          </w:p>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g) Padrão de imagem radiográfica;</w:t>
            </w:r>
          </w:p>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h) Integridade das vestimentas de proteção individual</w:t>
            </w:r>
          </w:p>
        </w:tc>
        <w:tc>
          <w:tcPr>
            <w:tcW w:w="540" w:type="dxa"/>
            <w:tcBorders>
              <w:top w:val="single" w:sz="4" w:space="0" w:color="auto"/>
              <w:left w:val="single" w:sz="4" w:space="0" w:color="auto"/>
              <w:bottom w:val="single" w:sz="4" w:space="0" w:color="auto"/>
              <w:right w:val="single" w:sz="4" w:space="0" w:color="auto"/>
            </w:tcBorders>
            <w:vAlign w:val="center"/>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vAlign w:val="center"/>
          </w:tcPr>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vAlign w:val="center"/>
          </w:tcPr>
          <w:p w:rsidR="00B0557A" w:rsidRDefault="00B0557A">
            <w:pPr>
              <w:autoSpaceDE w:val="0"/>
              <w:autoSpaceDN w:val="0"/>
              <w:adjustRightInd w:val="0"/>
              <w:jc w:val="both"/>
              <w:rPr>
                <w:rFonts w:ascii="Arial" w:hAnsi="Arial" w:cs="Arial"/>
                <w:sz w:val="20"/>
                <w:szCs w:val="20"/>
                <w:lang w:eastAsia="pt-BR"/>
              </w:rPr>
            </w:pPr>
          </w:p>
        </w:tc>
        <w:tc>
          <w:tcPr>
            <w:tcW w:w="568" w:type="dxa"/>
            <w:tcBorders>
              <w:top w:val="single" w:sz="4" w:space="0" w:color="auto"/>
              <w:left w:val="single" w:sz="4" w:space="0" w:color="auto"/>
              <w:bottom w:val="single" w:sz="4" w:space="0" w:color="auto"/>
              <w:right w:val="single" w:sz="4" w:space="0" w:color="auto"/>
            </w:tcBorders>
            <w:vAlign w:val="center"/>
          </w:tcPr>
          <w:p w:rsidR="00B0557A" w:rsidRDefault="00B0557A">
            <w:pPr>
              <w:autoSpaceDE w:val="0"/>
              <w:autoSpaceDN w:val="0"/>
              <w:adjustRightInd w:val="0"/>
              <w:jc w:val="both"/>
              <w:rPr>
                <w:rFonts w:ascii="Arial" w:hAnsi="Arial" w:cs="Arial"/>
                <w:sz w:val="20"/>
                <w:szCs w:val="20"/>
                <w:lang w:eastAsia="pt-BR"/>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5.14 Portaria 453/98 MS</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Relatório de levantamento radiométrico?</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568"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w:t>
            </w: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Item 3.9 alínea c inciso II Portaria 453/98 MS</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 xml:space="preserve">Os relatórios dos testes de controle de qualidade, levantamento radiométrico e radiação de fuga foram emitidos </w:t>
            </w:r>
            <w:r>
              <w:rPr>
                <w:rFonts w:ascii="Arial" w:hAnsi="Arial" w:cs="Arial"/>
                <w:iCs/>
                <w:sz w:val="20"/>
                <w:szCs w:val="20"/>
                <w:lang w:eastAsia="pt-BR"/>
              </w:rPr>
              <w:t>por empresa cadastrada junto a Vigilância Sanitária Estadual</w:t>
            </w:r>
            <w:r>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b/>
                <w:bCs/>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b/>
                <w:bCs/>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b/>
                <w:bCs/>
                <w:color w:val="000000"/>
                <w:sz w:val="20"/>
                <w:szCs w:val="20"/>
              </w:rPr>
            </w:pPr>
            <w:r>
              <w:rPr>
                <w:rFonts w:ascii="Arial" w:hAnsi="Arial" w:cs="Arial"/>
                <w:sz w:val="20"/>
                <w:szCs w:val="20"/>
              </w:rPr>
              <w:t>Portaria 453/98 MS c/c Instrução Normativa 001/DIVS/2013</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snapToGrid w:val="0"/>
              <w:jc w:val="center"/>
              <w:rPr>
                <w:rFonts w:ascii="Arial" w:hAnsi="Arial" w:cs="Arial"/>
                <w:b/>
                <w:sz w:val="20"/>
                <w:szCs w:val="20"/>
                <w:lang w:eastAsia="pt-BR"/>
              </w:rPr>
            </w:pPr>
            <w:r>
              <w:rPr>
                <w:rFonts w:ascii="Arial" w:hAnsi="Arial" w:cs="Arial"/>
                <w:b/>
                <w:sz w:val="20"/>
                <w:szCs w:val="20"/>
                <w:lang w:eastAsia="pt-BR"/>
              </w:rPr>
              <w:t>ACONDICIONAMENTO E DESTINO DOS RESÍDUOS</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B0557A" w:rsidRDefault="00B0557A">
            <w:pPr>
              <w:jc w:val="center"/>
              <w:rPr>
                <w:rFonts w:ascii="Arial" w:hAnsi="Arial" w:cs="Arial"/>
                <w:b/>
                <w:bCs/>
                <w:sz w:val="20"/>
                <w:szCs w:val="20"/>
              </w:rPr>
            </w:pPr>
            <w:r>
              <w:rPr>
                <w:rFonts w:ascii="Arial" w:hAnsi="Arial" w:cs="Arial"/>
                <w:b/>
                <w:bCs/>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b/>
                <w:bCs/>
                <w:sz w:val="20"/>
                <w:szCs w:val="20"/>
              </w:rPr>
            </w:pPr>
            <w:r>
              <w:rPr>
                <w:rFonts w:ascii="Arial" w:hAnsi="Arial" w:cs="Arial"/>
                <w:b/>
                <w:bCs/>
                <w:sz w:val="20"/>
                <w:szCs w:val="20"/>
              </w:rPr>
              <w:t>ENQUADRAMENTO LEGAL</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Os resíduos infectantes são depositados em saco branco leitoso, identificado com o símbolo de resíduo infectante preconizado pela NBR 7500 ABNT?</w:t>
            </w:r>
          </w:p>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both"/>
              <w:rPr>
                <w:rFonts w:ascii="Arial" w:hAnsi="Arial" w:cs="Arial"/>
                <w:sz w:val="20"/>
                <w:szCs w:val="20"/>
              </w:rPr>
            </w:pPr>
            <w:r>
              <w:rPr>
                <w:rFonts w:ascii="Arial" w:hAnsi="Arial" w:cs="Arial"/>
                <w:sz w:val="20"/>
                <w:szCs w:val="20"/>
              </w:rPr>
              <w:t>RDC ANVISA 306/04 Capítulo III item 1.3.3</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r>
              <w:rPr>
                <w:rFonts w:ascii="Arial" w:hAnsi="Arial" w:cs="Arial"/>
                <w:sz w:val="20"/>
                <w:szCs w:val="20"/>
              </w:rPr>
              <w:t>O descarte dos resíduos perfurocortantes é feito em recipientes rígidos, resistentes à punctura, ruptura e vazamento, com tampa, devidamente identificados (símbolo de substância infectante preconizado pela NBR 7500 ABNT e acrescido da inscrição PERFUROCORTANTE), instalados em suporte adequado?</w:t>
            </w:r>
          </w:p>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RDC ANVISA 306/04 Capítulo III item 1.3.6</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color w:val="000000"/>
                <w:sz w:val="20"/>
                <w:szCs w:val="20"/>
              </w:rPr>
            </w:pPr>
            <w:r>
              <w:rPr>
                <w:rFonts w:ascii="Arial" w:hAnsi="Arial" w:cs="Arial"/>
                <w:color w:val="000000"/>
                <w:sz w:val="20"/>
                <w:szCs w:val="20"/>
              </w:rPr>
              <w:lastRenderedPageBreak/>
              <w:t xml:space="preserve">As lixeiras são resistentes à punctura, ruptura, vazamento, com tampa provida de sistema de abertura sem contato manual, com cantos arredondados e resistentes ao tombamento? </w:t>
            </w:r>
          </w:p>
          <w:p w:rsidR="00B0557A" w:rsidRDefault="00B0557A">
            <w:pPr>
              <w:autoSpaceDE w:val="0"/>
              <w:autoSpaceDN w:val="0"/>
              <w:adjustRightInd w:val="0"/>
              <w:jc w:val="both"/>
              <w:rPr>
                <w:rFonts w:ascii="Arial"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RDC ANVISA 306/04 Capítulo III item 1.2.2</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rPr>
                <w:rFonts w:ascii="Arial" w:hAnsi="Arial" w:cs="Arial"/>
                <w:iCs/>
                <w:sz w:val="20"/>
                <w:szCs w:val="20"/>
                <w:lang w:eastAsia="pt-BR"/>
              </w:rPr>
            </w:pPr>
            <w:r>
              <w:rPr>
                <w:rFonts w:ascii="Arial" w:hAnsi="Arial" w:cs="Arial"/>
                <w:iCs/>
                <w:sz w:val="20"/>
                <w:szCs w:val="20"/>
                <w:lang w:eastAsia="pt-BR"/>
              </w:rPr>
              <w:t xml:space="preserve">Os resíduos químicos - grupo B - (resíduos de amálgama, radiografias odontológicas, revelador e fixador) são acondicionados e descartados conforme a RDC 306/04?  </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RDC ANVISA 306/04 Capítulo III item 1.3.4</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rPr>
                <w:rFonts w:ascii="Arial" w:hAnsi="Arial" w:cs="Arial"/>
                <w:iCs/>
                <w:sz w:val="20"/>
                <w:szCs w:val="20"/>
                <w:lang w:eastAsia="pt-BR"/>
              </w:rPr>
            </w:pPr>
            <w:r>
              <w:rPr>
                <w:rFonts w:ascii="Arial" w:hAnsi="Arial" w:cs="Arial"/>
                <w:sz w:val="20"/>
                <w:szCs w:val="20"/>
                <w:lang w:eastAsia="pt-BR"/>
              </w:rPr>
              <w:t>Os resíduos químicos líquidos são acondicionados em recipientes constituídos de material compatível com o líquido armazenado, resistentes, rígidos e estanques, com tampa rosqueada e vedante?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RDC ANVISA 306/04 Capítulo VI item 11.5</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abrigo externo para o grupo de resíduos infectantes, com ambiente separado dos demais, identificado e restrito aos funcionários?</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bCs/>
                <w:sz w:val="20"/>
                <w:szCs w:val="20"/>
              </w:rPr>
            </w:pPr>
            <w:r>
              <w:rPr>
                <w:rFonts w:ascii="Arial" w:hAnsi="Arial" w:cs="Arial"/>
                <w:sz w:val="20"/>
                <w:szCs w:val="20"/>
              </w:rPr>
              <w:t>RDC ANVISA 306/04 Capítulo III item 1.7.1</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Os resíduos sólidos comuns são acondicionados em embalagens plásticas devidamente fechadas em local limpo e com frequente manutenção?</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LCM 113/03 Art. 1º, § 4° e § 5 °</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contentor com tampa para exposição do lixo comum à coleta?</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 xml:space="preserve">LCM 113/03 Art. 3º e 5º </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6.5 O tempo de permanência dos contentores nos logradouros públicos é cumprido: Coleta diurna: até duas horas antes da coleta e duas horas depois; Coleta após as 18 horas os contentores deverão ser retirados até às 7 horas do dia seguinte.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LCM 113/03 Art. 7º</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center"/>
              <w:rPr>
                <w:rFonts w:ascii="Arial" w:hAnsi="Arial" w:cs="Arial"/>
                <w:b/>
                <w:sz w:val="20"/>
                <w:szCs w:val="20"/>
                <w:lang w:eastAsia="pt-BR"/>
              </w:rPr>
            </w:pPr>
            <w:r>
              <w:rPr>
                <w:rFonts w:ascii="Arial" w:hAnsi="Arial" w:cs="Arial"/>
                <w:b/>
                <w:bCs/>
                <w:sz w:val="20"/>
                <w:szCs w:val="20"/>
              </w:rPr>
              <w:t>DOCUMENTOS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center"/>
              <w:rPr>
                <w:rFonts w:ascii="Arial" w:hAnsi="Arial" w:cs="Arial"/>
                <w:b/>
                <w:bCs/>
                <w:sz w:val="20"/>
                <w:szCs w:val="20"/>
              </w:rPr>
            </w:pPr>
            <w:r>
              <w:rPr>
                <w:rFonts w:ascii="Arial" w:hAnsi="Arial" w:cs="Arial"/>
                <w:b/>
                <w:bCs/>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B0557A" w:rsidRDefault="00B0557A">
            <w:pPr>
              <w:jc w:val="center"/>
              <w:rPr>
                <w:rFonts w:ascii="Arial" w:hAnsi="Arial" w:cs="Arial"/>
                <w:b/>
                <w:bCs/>
                <w:sz w:val="20"/>
                <w:szCs w:val="20"/>
              </w:rPr>
            </w:pPr>
            <w:r>
              <w:rPr>
                <w:rFonts w:ascii="Arial" w:hAnsi="Arial" w:cs="Arial"/>
                <w:b/>
                <w:bCs/>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b/>
                <w:bCs/>
                <w:sz w:val="20"/>
                <w:szCs w:val="20"/>
              </w:rPr>
            </w:pPr>
            <w:r>
              <w:rPr>
                <w:rFonts w:ascii="Arial" w:hAnsi="Arial" w:cs="Arial"/>
                <w:b/>
                <w:bCs/>
                <w:sz w:val="20"/>
                <w:szCs w:val="20"/>
              </w:rPr>
              <w:t>ENQUADRAMENTO LEGAL</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rPr>
                <w:rFonts w:ascii="Arial" w:hAnsi="Arial" w:cs="Arial"/>
                <w:sz w:val="20"/>
                <w:szCs w:val="20"/>
                <w:lang w:eastAsia="pt-BR"/>
              </w:rPr>
            </w:pPr>
            <w:r>
              <w:rPr>
                <w:rFonts w:ascii="Arial" w:hAnsi="Arial" w:cs="Arial"/>
                <w:sz w:val="20"/>
                <w:szCs w:val="20"/>
                <w:lang w:eastAsia="pt-BR"/>
              </w:rPr>
              <w:t>Possui Projeto Básico de Arquitetura (PBA) aprovado pela Vigilância Sanitária?</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bCs/>
                <w:sz w:val="20"/>
                <w:szCs w:val="20"/>
                <w:lang w:val="en-US"/>
              </w:rPr>
            </w:pPr>
            <w:r>
              <w:rPr>
                <w:rFonts w:ascii="Arial" w:hAnsi="Arial" w:cs="Arial"/>
                <w:bCs/>
                <w:sz w:val="20"/>
                <w:szCs w:val="20"/>
                <w:lang w:val="en-US"/>
              </w:rPr>
              <w:t>RDC 63/11 ANVISA Art. 23 e 34 c/c LCM 239/06 Art. 70</w:t>
            </w:r>
          </w:p>
          <w:p w:rsidR="00B0557A" w:rsidRDefault="00B0557A">
            <w:pPr>
              <w:rPr>
                <w:rFonts w:ascii="Arial" w:hAnsi="Arial" w:cs="Arial"/>
                <w:sz w:val="20"/>
                <w:szCs w:val="20"/>
                <w:lang w:val="en-US"/>
              </w:rPr>
            </w:pP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rPr>
                <w:rFonts w:ascii="Arial" w:hAnsi="Arial" w:cs="Arial"/>
                <w:sz w:val="20"/>
                <w:szCs w:val="20"/>
                <w:lang w:eastAsia="pt-BR"/>
              </w:rPr>
            </w:pPr>
            <w:r>
              <w:rPr>
                <w:rFonts w:ascii="Arial" w:hAnsi="Arial" w:cs="Arial"/>
                <w:sz w:val="20"/>
                <w:szCs w:val="20"/>
                <w:lang w:eastAsia="pt-BR"/>
              </w:rPr>
              <w:t>Possui laudo de conformidade da obra executada com o PBA aprovado, emitido pela Vigilância Sanitária?</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bCs/>
                <w:sz w:val="20"/>
                <w:szCs w:val="20"/>
              </w:rPr>
            </w:pPr>
            <w:r>
              <w:rPr>
                <w:rFonts w:ascii="Arial" w:hAnsi="Arial" w:cs="Arial"/>
                <w:bCs/>
                <w:sz w:val="20"/>
                <w:szCs w:val="20"/>
              </w:rPr>
              <w:t>RDC 51/11 ANVISA Art. 24</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tabs>
                <w:tab w:val="left" w:pos="4095"/>
              </w:tabs>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contrato com empresa que recolhe os resíduos do serviço de saúde?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B0557A" w:rsidRDefault="00B0557A">
            <w:pPr>
              <w:rPr>
                <w:rFonts w:ascii="Arial" w:hAnsi="Arial" w:cs="Arial"/>
                <w:bCs/>
                <w:sz w:val="20"/>
                <w:szCs w:val="20"/>
              </w:rPr>
            </w:pPr>
            <w:r>
              <w:rPr>
                <w:rFonts w:ascii="Arial" w:hAnsi="Arial" w:cs="Arial"/>
                <w:bCs/>
                <w:sz w:val="20"/>
                <w:szCs w:val="20"/>
              </w:rPr>
              <w:t>RDC 63/11 ANVISA Art. 23</w:t>
            </w:r>
          </w:p>
          <w:p w:rsidR="00B0557A" w:rsidRDefault="00B0557A">
            <w:pPr>
              <w:rPr>
                <w:rFonts w:ascii="Arial" w:hAnsi="Arial" w:cs="Arial"/>
                <w:sz w:val="20"/>
                <w:szCs w:val="20"/>
              </w:rPr>
            </w:pP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iCs/>
                <w:sz w:val="20"/>
                <w:szCs w:val="20"/>
                <w:lang w:eastAsia="pt-BR"/>
              </w:rPr>
            </w:pPr>
            <w:r>
              <w:rPr>
                <w:rFonts w:ascii="Arial" w:hAnsi="Arial" w:cs="Arial"/>
                <w:iCs/>
                <w:sz w:val="20"/>
                <w:szCs w:val="20"/>
                <w:lang w:eastAsia="pt-BR"/>
              </w:rPr>
              <w:t xml:space="preserve">Possui Plano de Gerenciamento de Resíduos de Serviços de Saúde (PGRSS)? </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 xml:space="preserve">RDC 306/04 Capítulo III c/c RDC 63/11 Art. 23 c/c RESOLUÇÃO CONJUNTA CONSEMA e DIVS nº 01/2013. </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certificado de desratização e desinsetização em validade?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RDC 63/11 Art. 23, VIII</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hideMark/>
          </w:tcPr>
          <w:p w:rsidR="00B0557A" w:rsidRDefault="00B0557A">
            <w:pPr>
              <w:autoSpaceDE w:val="0"/>
              <w:autoSpaceDN w:val="0"/>
              <w:adjustRightInd w:val="0"/>
              <w:jc w:val="both"/>
              <w:rPr>
                <w:rFonts w:ascii="Arial" w:hAnsi="Arial" w:cs="Arial"/>
                <w:sz w:val="20"/>
                <w:szCs w:val="20"/>
                <w:lang w:eastAsia="pt-BR"/>
              </w:rPr>
            </w:pPr>
            <w:r>
              <w:rPr>
                <w:rFonts w:ascii="Arial" w:hAnsi="Arial" w:cs="Arial"/>
                <w:sz w:val="20"/>
                <w:szCs w:val="20"/>
                <w:lang w:eastAsia="pt-BR"/>
              </w:rPr>
              <w:t>Dentistas e auxiliares possuem vacinação contra tétano, difteria e hepatite B?</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Portaria 485/05 – NR32</w:t>
            </w:r>
          </w:p>
        </w:tc>
      </w:tr>
      <w:tr w:rsidR="00B0557A" w:rsidRP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both"/>
              <w:rPr>
                <w:rFonts w:ascii="Arial" w:hAnsi="Arial" w:cs="Arial"/>
                <w:sz w:val="20"/>
                <w:szCs w:val="20"/>
              </w:rPr>
            </w:pPr>
            <w:r>
              <w:rPr>
                <w:rFonts w:ascii="Arial" w:hAnsi="Arial" w:cs="Arial"/>
                <w:sz w:val="20"/>
                <w:szCs w:val="20"/>
                <w:lang w:eastAsia="pt-BR"/>
              </w:rPr>
              <w:t>Possui</w:t>
            </w:r>
            <w:r>
              <w:rPr>
                <w:rFonts w:ascii="Arial" w:hAnsi="Arial" w:cs="Arial"/>
                <w:sz w:val="20"/>
                <w:szCs w:val="20"/>
              </w:rPr>
              <w:t xml:space="preserve"> Certificado de Limpeza e Desinfecção dos Reservatórios de Água?</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b/>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ind w:right="-108"/>
              <w:jc w:val="both"/>
              <w:rPr>
                <w:rFonts w:ascii="Arial" w:hAnsi="Arial" w:cs="Arial"/>
                <w:b/>
                <w:bCs/>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Lei Municipal 4783/95</w:t>
            </w:r>
          </w:p>
          <w:p w:rsidR="00B0557A" w:rsidRDefault="00B0557A">
            <w:pPr>
              <w:rPr>
                <w:rFonts w:ascii="Arial" w:hAnsi="Arial" w:cs="Arial"/>
                <w:sz w:val="20"/>
                <w:szCs w:val="20"/>
              </w:rPr>
            </w:pPr>
            <w:r>
              <w:rPr>
                <w:rFonts w:ascii="Arial" w:hAnsi="Arial" w:cs="Arial"/>
                <w:sz w:val="20"/>
                <w:szCs w:val="20"/>
              </w:rPr>
              <w:t>RDC 63/11 ANVISA Art. 39</w:t>
            </w:r>
          </w:p>
        </w:tc>
      </w:tr>
      <w:tr w:rsidR="00B0557A" w:rsidTr="00B0557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0557A" w:rsidRDefault="00B0557A">
            <w:pPr>
              <w:jc w:val="both"/>
              <w:rPr>
                <w:rFonts w:ascii="Arial" w:hAnsi="Arial" w:cs="Arial"/>
                <w:sz w:val="20"/>
                <w:szCs w:val="20"/>
              </w:rPr>
            </w:pPr>
            <w:r>
              <w:rPr>
                <w:rFonts w:ascii="Arial" w:hAnsi="Arial" w:cs="Arial"/>
                <w:sz w:val="20"/>
                <w:szCs w:val="20"/>
                <w:lang w:eastAsia="pt-BR"/>
              </w:rPr>
              <w:t>Possui Termo de Responsabilidade Técnica emitido pelo Conselho de classe?</w:t>
            </w: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0557A" w:rsidRDefault="00B0557A">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B0557A" w:rsidRDefault="00B0557A">
            <w:pPr>
              <w:rPr>
                <w:rFonts w:ascii="Arial" w:hAnsi="Arial" w:cs="Arial"/>
                <w:sz w:val="20"/>
                <w:szCs w:val="20"/>
              </w:rPr>
            </w:pPr>
            <w:r>
              <w:rPr>
                <w:rFonts w:ascii="Arial" w:hAnsi="Arial" w:cs="Arial"/>
                <w:sz w:val="20"/>
                <w:szCs w:val="20"/>
              </w:rPr>
              <w:t>RDC 63/11 Art. 14</w:t>
            </w:r>
          </w:p>
        </w:tc>
      </w:tr>
    </w:tbl>
    <w:p w:rsidR="00AC6370" w:rsidRDefault="00AC6370">
      <w:r>
        <w:br w:type="page"/>
      </w:r>
      <w:bookmarkStart w:id="0" w:name="_GoBack"/>
      <w:bookmarkEnd w:id="0"/>
    </w:p>
    <w:p w:rsidR="00231CD6" w:rsidRDefault="00231CD6">
      <w:pPr>
        <w:rPr>
          <w:rFonts w:ascii="Arial" w:hAnsi="Arial" w:cs="Arial"/>
          <w:b/>
          <w:sz w:val="20"/>
          <w:szCs w:val="20"/>
        </w:rPr>
      </w:pPr>
    </w:p>
    <w:p w:rsidR="0074345F" w:rsidRPr="00245A38" w:rsidRDefault="0074345F">
      <w:pPr>
        <w:rPr>
          <w:rFonts w:ascii="Arial" w:hAnsi="Arial" w:cs="Arial"/>
          <w:b/>
          <w:sz w:val="20"/>
          <w:szCs w:val="20"/>
        </w:rPr>
      </w:pPr>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1E" w:rsidRDefault="00AF4D1E">
      <w:r>
        <w:separator/>
      </w:r>
    </w:p>
  </w:endnote>
  <w:endnote w:type="continuationSeparator" w:id="0">
    <w:p w:rsidR="00AF4D1E" w:rsidRDefault="00AF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1E" w:rsidRDefault="00AF4D1E">
      <w:r>
        <w:separator/>
      </w:r>
    </w:p>
  </w:footnote>
  <w:footnote w:type="continuationSeparator" w:id="0">
    <w:p w:rsidR="00AF4D1E" w:rsidRDefault="00AF4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6370"/>
    <w:rsid w:val="00AC763F"/>
    <w:rsid w:val="00AE5126"/>
    <w:rsid w:val="00AF051C"/>
    <w:rsid w:val="00AF2D12"/>
    <w:rsid w:val="00AF4D1E"/>
    <w:rsid w:val="00AF639E"/>
    <w:rsid w:val="00B0557A"/>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224727304">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969632850">
      <w:bodyDiv w:val="1"/>
      <w:marLeft w:val="0"/>
      <w:marRight w:val="0"/>
      <w:marTop w:val="0"/>
      <w:marBottom w:val="0"/>
      <w:divBdr>
        <w:top w:val="none" w:sz="0" w:space="0" w:color="auto"/>
        <w:left w:val="none" w:sz="0" w:space="0" w:color="auto"/>
        <w:bottom w:val="none" w:sz="0" w:space="0" w:color="auto"/>
        <w:right w:val="none" w:sz="0" w:space="0" w:color="auto"/>
      </w:divBdr>
    </w:div>
    <w:div w:id="1067798332">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2015-06-23T21:43:00Z</dcterms:created>
  <dcterms:modified xsi:type="dcterms:W3CDTF">2015-06-23T21:43:00Z</dcterms:modified>
</cp:coreProperties>
</file>